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D7" w:rsidRDefault="000B43D7" w:rsidP="000B43D7">
      <w:pPr>
        <w:ind w:right="-7"/>
        <w:jc w:val="both"/>
        <w:rPr>
          <w:b/>
        </w:rPr>
      </w:pPr>
    </w:p>
    <w:p w:rsidR="000B43D7" w:rsidRDefault="000B43D7" w:rsidP="000B43D7">
      <w:pPr>
        <w:ind w:right="-7"/>
        <w:jc w:val="both"/>
        <w:rPr>
          <w:b/>
        </w:rPr>
      </w:pPr>
    </w:p>
    <w:p w:rsidR="000B43D7" w:rsidRDefault="000B43D7" w:rsidP="000B43D7">
      <w:pPr>
        <w:spacing w:after="160"/>
        <w:jc w:val="center"/>
        <w:rPr>
          <w:b/>
          <w:sz w:val="28"/>
          <w:szCs w:val="28"/>
          <w:u w:val="single"/>
          <w:lang w:eastAsia="en-US"/>
        </w:rPr>
      </w:pPr>
      <w:r w:rsidRPr="000B43D7">
        <w:rPr>
          <w:b/>
          <w:sz w:val="28"/>
          <w:szCs w:val="28"/>
          <w:u w:val="single"/>
          <w:lang w:eastAsia="en-US"/>
        </w:rPr>
        <w:t xml:space="preserve">Раздел </w:t>
      </w:r>
      <w:r>
        <w:rPr>
          <w:b/>
          <w:sz w:val="28"/>
          <w:szCs w:val="28"/>
          <w:u w:val="single"/>
          <w:lang w:eastAsia="en-US"/>
        </w:rPr>
        <w:t>1</w:t>
      </w:r>
    </w:p>
    <w:p w:rsidR="000B43D7" w:rsidRPr="000B43D7" w:rsidRDefault="000B43D7" w:rsidP="000B43D7">
      <w:pPr>
        <w:spacing w:after="160"/>
        <w:jc w:val="center"/>
        <w:rPr>
          <w:b/>
          <w:bCs/>
          <w:lang w:eastAsia="en-US"/>
        </w:rPr>
      </w:pPr>
      <w:r>
        <w:rPr>
          <w:b/>
          <w:sz w:val="28"/>
          <w:szCs w:val="28"/>
          <w:lang w:eastAsia="en-US"/>
        </w:rPr>
        <w:t>Техническа спецификация</w:t>
      </w:r>
    </w:p>
    <w:p w:rsidR="000B43D7" w:rsidRDefault="000B43D7" w:rsidP="000B43D7">
      <w:pPr>
        <w:ind w:right="-7"/>
        <w:jc w:val="both"/>
        <w:rPr>
          <w:b/>
        </w:rPr>
      </w:pPr>
    </w:p>
    <w:p w:rsidR="000B43D7" w:rsidRDefault="000B43D7" w:rsidP="000B43D7">
      <w:pPr>
        <w:ind w:right="-7"/>
        <w:jc w:val="both"/>
        <w:rPr>
          <w:b/>
        </w:rPr>
      </w:pPr>
    </w:p>
    <w:p w:rsidR="000B43D7" w:rsidRDefault="000B43D7" w:rsidP="000B43D7">
      <w:pPr>
        <w:ind w:right="-7"/>
        <w:jc w:val="both"/>
        <w:rPr>
          <w:b/>
        </w:rPr>
      </w:pPr>
    </w:p>
    <w:p w:rsidR="000B43D7" w:rsidRPr="000B43D7" w:rsidRDefault="000B43D7" w:rsidP="000E65C3">
      <w:pPr>
        <w:spacing w:line="276" w:lineRule="auto"/>
        <w:ind w:right="-7"/>
        <w:jc w:val="both"/>
      </w:pPr>
      <w:r w:rsidRPr="00406C80">
        <w:rPr>
          <w:b/>
        </w:rPr>
        <w:t>1.</w:t>
      </w:r>
      <w:r w:rsidRPr="00406C80">
        <w:rPr>
          <w:b/>
        </w:rPr>
        <w:tab/>
        <w:t xml:space="preserve">Наименование на </w:t>
      </w:r>
      <w:r>
        <w:rPr>
          <w:b/>
        </w:rPr>
        <w:t xml:space="preserve">обекта на </w:t>
      </w:r>
      <w:r w:rsidRPr="00406C80">
        <w:rPr>
          <w:b/>
        </w:rPr>
        <w:t>поръчката:</w:t>
      </w:r>
      <w:r>
        <w:rPr>
          <w:b/>
        </w:rPr>
        <w:t xml:space="preserve"> </w:t>
      </w:r>
      <w:r w:rsidRPr="000B43D7">
        <w:rPr>
          <w:bCs/>
          <w:color w:val="000000"/>
        </w:rPr>
        <w:t>О</w:t>
      </w:r>
      <w:r w:rsidRPr="000B43D7">
        <w:rPr>
          <w:lang w:val="ru-RU"/>
        </w:rPr>
        <w:t xml:space="preserve">сновен ремонт на общински път Панагюрски колонии – местност „Манзул” от км 0+000 до км 7+660,78 - </w:t>
      </w:r>
      <w:r w:rsidRPr="000B43D7">
        <w:rPr>
          <w:u w:val="single"/>
          <w:lang w:val="en-US"/>
        </w:rPr>
        <w:t>подучастък от км 4+</w:t>
      </w:r>
      <w:r w:rsidRPr="000B43D7">
        <w:rPr>
          <w:u w:val="single"/>
        </w:rPr>
        <w:t>745</w:t>
      </w:r>
      <w:r w:rsidRPr="000B43D7">
        <w:rPr>
          <w:u w:val="single"/>
          <w:lang w:val="en-US"/>
        </w:rPr>
        <w:t xml:space="preserve"> до км </w:t>
      </w:r>
      <w:r w:rsidRPr="000B43D7">
        <w:rPr>
          <w:u w:val="single"/>
        </w:rPr>
        <w:t>5+020.</w:t>
      </w:r>
    </w:p>
    <w:p w:rsidR="000B43D7" w:rsidRDefault="000B43D7" w:rsidP="000E65C3">
      <w:pPr>
        <w:spacing w:line="276" w:lineRule="auto"/>
        <w:ind w:right="-7"/>
        <w:jc w:val="both"/>
        <w:rPr>
          <w:b/>
          <w:sz w:val="28"/>
          <w:szCs w:val="28"/>
        </w:rPr>
      </w:pPr>
    </w:p>
    <w:p w:rsidR="000B43D7" w:rsidRPr="00406C80" w:rsidRDefault="000B43D7" w:rsidP="000E65C3">
      <w:pPr>
        <w:spacing w:line="276" w:lineRule="auto"/>
        <w:ind w:right="-7"/>
        <w:jc w:val="both"/>
        <w:rPr>
          <w:b/>
        </w:rPr>
      </w:pPr>
      <w:r w:rsidRPr="00406C80">
        <w:rPr>
          <w:b/>
        </w:rPr>
        <w:t>2.</w:t>
      </w:r>
      <w:r w:rsidRPr="00406C80">
        <w:rPr>
          <w:b/>
        </w:rPr>
        <w:tab/>
        <w:t>Оп</w:t>
      </w:r>
      <w:r>
        <w:rPr>
          <w:b/>
        </w:rPr>
        <w:t>исание на предмета на поръчката</w:t>
      </w:r>
    </w:p>
    <w:p w:rsidR="000B43D7" w:rsidRDefault="000B43D7" w:rsidP="000E65C3">
      <w:pPr>
        <w:spacing w:line="276" w:lineRule="auto"/>
        <w:ind w:right="-7"/>
        <w:jc w:val="both"/>
        <w:rPr>
          <w:b/>
          <w:sz w:val="28"/>
          <w:szCs w:val="28"/>
        </w:rPr>
      </w:pPr>
    </w:p>
    <w:p w:rsidR="000B43D7" w:rsidRPr="00DF6DC6" w:rsidRDefault="000B43D7" w:rsidP="00CB2A57">
      <w:pPr>
        <w:pStyle w:val="Style13"/>
        <w:widowControl/>
        <w:spacing w:before="18" w:line="276" w:lineRule="auto"/>
        <w:ind w:firstLine="688"/>
        <w:rPr>
          <w:rFonts w:ascii="Times New Roman" w:hAnsi="Times New Roman"/>
        </w:rPr>
      </w:pPr>
      <w:r w:rsidRPr="00DF6DC6">
        <w:rPr>
          <w:rStyle w:val="FontStyle37"/>
          <w:sz w:val="24"/>
          <w:szCs w:val="24"/>
        </w:rPr>
        <w:t xml:space="preserve">За обекта има разработен Технически проект за реконструкция на Общински път "Панагюрски колонии - местност "Манзул" отклонение на път II - </w:t>
      </w:r>
      <w:r w:rsidRPr="00DF6DC6">
        <w:rPr>
          <w:rStyle w:val="FontStyle30"/>
          <w:rFonts w:ascii="Times New Roman" w:hAnsi="Times New Roman"/>
          <w:spacing w:val="20"/>
        </w:rPr>
        <w:t xml:space="preserve">37 </w:t>
      </w:r>
      <w:r w:rsidRPr="00DF6DC6">
        <w:rPr>
          <w:rStyle w:val="FontStyle37"/>
          <w:sz w:val="24"/>
          <w:szCs w:val="24"/>
        </w:rPr>
        <w:t>(Ябланица-Ботевград)Пирдоп-Панагюрище-Пазарджик, който е изготвен с цел да се даде конкретно техническо решение за реализацията на набелязаното строителство за реконструкция на пътя.</w:t>
      </w:r>
    </w:p>
    <w:p w:rsidR="000B43D7" w:rsidRPr="00DF6DC6" w:rsidRDefault="000B43D7" w:rsidP="000E65C3">
      <w:pPr>
        <w:pStyle w:val="Style13"/>
        <w:widowControl/>
        <w:spacing w:before="36" w:line="276" w:lineRule="auto"/>
        <w:ind w:right="7" w:firstLine="688"/>
        <w:rPr>
          <w:rStyle w:val="FontStyle37"/>
          <w:sz w:val="24"/>
          <w:szCs w:val="24"/>
        </w:rPr>
      </w:pPr>
      <w:r w:rsidRPr="00DF6DC6">
        <w:rPr>
          <w:rStyle w:val="FontStyle37"/>
          <w:sz w:val="24"/>
          <w:szCs w:val="24"/>
        </w:rPr>
        <w:t xml:space="preserve">Съществуващият път е с асфалтова настилка от около 4 см асфалтобетон и е в много лошо състояние, като настилката частично е с по – добра трошенокаменна основа, но с много надлъжни пукнатини и дупки и частично с основа от неподходящ материал, което е причина за изронването и липсата на горния пласт и деформацията изобщо на настилката. </w:t>
      </w:r>
    </w:p>
    <w:p w:rsidR="000B43D7" w:rsidRPr="000B43D7" w:rsidRDefault="000B43D7" w:rsidP="000E65C3">
      <w:pPr>
        <w:spacing w:line="276" w:lineRule="auto"/>
        <w:ind w:firstLine="688"/>
        <w:jc w:val="both"/>
        <w:rPr>
          <w:rFonts w:eastAsia="Calibri"/>
          <w:lang w:eastAsia="en-US"/>
        </w:rPr>
      </w:pPr>
      <w:r w:rsidRPr="00DF6DC6">
        <w:t>Отводняването не е добро, окопите са изровени, казана на съществуващия</w:t>
      </w:r>
      <w:r>
        <w:t xml:space="preserve"> </w:t>
      </w:r>
      <w:r w:rsidRPr="000B43D7">
        <w:rPr>
          <w:rFonts w:eastAsia="Calibri"/>
          <w:lang w:eastAsia="en-US"/>
        </w:rPr>
        <w:t>водосток е разрушен и засипан.</w:t>
      </w:r>
    </w:p>
    <w:p w:rsidR="000B43D7" w:rsidRDefault="000B43D7" w:rsidP="000E65C3">
      <w:pPr>
        <w:spacing w:after="200" w:line="276" w:lineRule="auto"/>
        <w:jc w:val="both"/>
        <w:rPr>
          <w:rFonts w:eastAsia="Calibri"/>
          <w:b/>
          <w:u w:val="single"/>
          <w:lang w:eastAsia="en-US"/>
        </w:rPr>
      </w:pPr>
    </w:p>
    <w:p w:rsidR="000B43D7" w:rsidRPr="000B43D7" w:rsidRDefault="000B43D7" w:rsidP="000E65C3">
      <w:pPr>
        <w:spacing w:after="200" w:line="276" w:lineRule="auto"/>
        <w:jc w:val="both"/>
        <w:rPr>
          <w:rFonts w:eastAsia="Calibri"/>
          <w:b/>
          <w:u w:val="single"/>
          <w:lang w:eastAsia="en-US"/>
        </w:rPr>
      </w:pPr>
      <w:r w:rsidRPr="000B43D7">
        <w:rPr>
          <w:rFonts w:eastAsia="Calibri"/>
          <w:b/>
          <w:u w:val="single"/>
          <w:lang w:eastAsia="en-US"/>
        </w:rPr>
        <w:t>Технически параметри</w:t>
      </w:r>
      <w:r>
        <w:rPr>
          <w:rFonts w:eastAsia="Calibri"/>
          <w:b/>
          <w:u w:val="single"/>
          <w:lang w:eastAsia="en-US"/>
        </w:rPr>
        <w:t xml:space="preserve"> на пътя</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Клас на пътя….</w:t>
      </w:r>
      <w:r w:rsidRPr="000B43D7">
        <w:rPr>
          <w:lang w:eastAsia="en-US"/>
        </w:rPr>
        <w:t xml:space="preserve"> според класификацията на горските пътища, пътя попада в трета степен </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Категория на терена</w:t>
      </w:r>
      <w:r w:rsidRPr="000B43D7">
        <w:rPr>
          <w:lang w:eastAsia="en-US"/>
        </w:rPr>
        <w:t>……………….……….. планински</w:t>
      </w:r>
    </w:p>
    <w:p w:rsidR="000B43D7" w:rsidRPr="000B43D7" w:rsidRDefault="000B43D7" w:rsidP="000E65C3">
      <w:pPr>
        <w:spacing w:line="276" w:lineRule="auto"/>
        <w:ind w:left="360"/>
        <w:rPr>
          <w:lang w:eastAsia="en-US"/>
        </w:rPr>
      </w:pPr>
      <w:r w:rsidRPr="000B43D7">
        <w:rPr>
          <w:lang w:eastAsia="en-US"/>
        </w:rPr>
        <w:t xml:space="preserve">♦    </w:t>
      </w:r>
      <w:r w:rsidRPr="000B43D7">
        <w:rPr>
          <w:b/>
          <w:i/>
          <w:lang w:eastAsia="en-US"/>
        </w:rPr>
        <w:t>Проектна скорост</w:t>
      </w:r>
      <w:r w:rsidRPr="000B43D7">
        <w:rPr>
          <w:lang w:eastAsia="en-US"/>
        </w:rPr>
        <w:t xml:space="preserve">…………………….... </w:t>
      </w:r>
      <w:r w:rsidRPr="000B43D7">
        <w:rPr>
          <w:lang w:val="en-US" w:eastAsia="en-US"/>
        </w:rPr>
        <w:t>V</w:t>
      </w:r>
      <w:r w:rsidRPr="000B43D7">
        <w:rPr>
          <w:lang w:eastAsia="en-US"/>
        </w:rPr>
        <w:t xml:space="preserve"> пр. = 30 км./ч.</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Минимален радиус на хоризонтални криви</w:t>
      </w:r>
      <w:r w:rsidRPr="000B43D7">
        <w:rPr>
          <w:lang w:eastAsia="en-US"/>
        </w:rPr>
        <w:t>……….4</w:t>
      </w:r>
      <w:r w:rsidRPr="000B43D7">
        <w:rPr>
          <w:lang w:val="en-US" w:eastAsia="en-US"/>
        </w:rPr>
        <w:t>0</w:t>
      </w:r>
      <w:r w:rsidRPr="000B43D7">
        <w:rPr>
          <w:lang w:eastAsia="en-US"/>
        </w:rPr>
        <w:t xml:space="preserve"> м.</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Максимален надлъжен наклон</w:t>
      </w:r>
      <w:r w:rsidRPr="000B43D7">
        <w:rPr>
          <w:lang w:eastAsia="en-US"/>
        </w:rPr>
        <w:t xml:space="preserve">………………...........11,02 % </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Напречен наклон в прав участък</w:t>
      </w:r>
      <w:r w:rsidRPr="000B43D7">
        <w:rPr>
          <w:lang w:eastAsia="en-US"/>
        </w:rPr>
        <w:t>………..............….2,5 %</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Габарит на пътя</w:t>
      </w:r>
      <w:r w:rsidRPr="000B43D7">
        <w:rPr>
          <w:lang w:eastAsia="en-US"/>
        </w:rPr>
        <w:t>……………………....……....…… 6 м., включващ :</w:t>
      </w:r>
    </w:p>
    <w:p w:rsidR="000B43D7" w:rsidRPr="000B43D7" w:rsidRDefault="000B43D7" w:rsidP="000E65C3">
      <w:pPr>
        <w:spacing w:line="276" w:lineRule="auto"/>
        <w:ind w:left="720"/>
        <w:rPr>
          <w:lang w:eastAsia="en-US"/>
        </w:rPr>
      </w:pPr>
      <w:r w:rsidRPr="000B43D7">
        <w:rPr>
          <w:lang w:eastAsia="en-US"/>
        </w:rPr>
        <w:t xml:space="preserve">◊  ленти за движение ……………..….…...1 х 3,0 м. </w:t>
      </w:r>
    </w:p>
    <w:p w:rsidR="000B43D7" w:rsidRPr="000B43D7" w:rsidRDefault="000B43D7" w:rsidP="000E65C3">
      <w:pPr>
        <w:spacing w:line="276" w:lineRule="auto"/>
        <w:ind w:left="720"/>
        <w:rPr>
          <w:lang w:eastAsia="en-US"/>
        </w:rPr>
      </w:pPr>
      <w:r w:rsidRPr="000B43D7">
        <w:rPr>
          <w:lang w:eastAsia="en-US"/>
        </w:rPr>
        <w:t>◊  ивици за маркировка ……………......…2 х 0,25 м.</w:t>
      </w:r>
    </w:p>
    <w:p w:rsidR="000B43D7" w:rsidRPr="000B43D7" w:rsidRDefault="000B43D7" w:rsidP="000E65C3">
      <w:pPr>
        <w:spacing w:line="276" w:lineRule="auto"/>
        <w:ind w:left="720"/>
        <w:rPr>
          <w:lang w:eastAsia="en-US"/>
        </w:rPr>
      </w:pPr>
      <w:r w:rsidRPr="000B43D7">
        <w:rPr>
          <w:lang w:eastAsia="en-US"/>
        </w:rPr>
        <w:t>◊  банкети с ширина ………….…..............1,25 м.</w:t>
      </w:r>
    </w:p>
    <w:p w:rsidR="000B43D7" w:rsidRPr="000B43D7" w:rsidRDefault="000B43D7" w:rsidP="000E65C3">
      <w:pPr>
        <w:spacing w:line="276" w:lineRule="auto"/>
        <w:ind w:left="283"/>
        <w:rPr>
          <w:b/>
          <w:lang w:eastAsia="en-US"/>
        </w:rPr>
      </w:pPr>
      <w:r w:rsidRPr="000B43D7">
        <w:rPr>
          <w:lang w:eastAsia="en-US"/>
        </w:rPr>
        <w:lastRenderedPageBreak/>
        <w:t xml:space="preserve">♦   </w:t>
      </w:r>
      <w:r w:rsidRPr="000B43D7">
        <w:rPr>
          <w:b/>
          <w:i/>
          <w:lang w:eastAsia="en-US"/>
        </w:rPr>
        <w:t>Конструкция на настилката</w:t>
      </w:r>
      <w:r w:rsidRPr="000B43D7">
        <w:rPr>
          <w:lang w:eastAsia="en-US"/>
        </w:rPr>
        <w:t xml:space="preserve">…..асфалтобетонова тип </w:t>
      </w:r>
      <w:r w:rsidRPr="000B43D7">
        <w:rPr>
          <w:b/>
          <w:lang w:eastAsia="en-US"/>
        </w:rPr>
        <w:t>“А”</w:t>
      </w:r>
    </w:p>
    <w:p w:rsidR="000B43D7" w:rsidRPr="000B43D7" w:rsidRDefault="000B43D7" w:rsidP="000E65C3">
      <w:pPr>
        <w:spacing w:line="276" w:lineRule="auto"/>
        <w:ind w:left="283"/>
        <w:rPr>
          <w:lang w:eastAsia="en-US"/>
        </w:rPr>
      </w:pPr>
      <w:r w:rsidRPr="000B43D7">
        <w:rPr>
          <w:lang w:eastAsia="en-US"/>
        </w:rPr>
        <w:t>♦   Категория на движението…………………..…….“леко”</w:t>
      </w:r>
    </w:p>
    <w:p w:rsidR="000B43D7" w:rsidRDefault="000B43D7" w:rsidP="000E65C3">
      <w:pPr>
        <w:autoSpaceDE w:val="0"/>
        <w:autoSpaceDN w:val="0"/>
        <w:adjustRightInd w:val="0"/>
        <w:spacing w:line="276" w:lineRule="auto"/>
        <w:ind w:firstLine="680"/>
        <w:jc w:val="both"/>
        <w:rPr>
          <w:color w:val="000000"/>
        </w:rPr>
      </w:pPr>
    </w:p>
    <w:p w:rsidR="000B43D7" w:rsidRPr="000B43D7" w:rsidRDefault="000B43D7" w:rsidP="000E65C3">
      <w:pPr>
        <w:pStyle w:val="a8"/>
        <w:spacing w:line="276" w:lineRule="auto"/>
        <w:rPr>
          <w:sz w:val="24"/>
          <w:szCs w:val="24"/>
        </w:rPr>
      </w:pPr>
      <w:r w:rsidRPr="000B43D7">
        <w:rPr>
          <w:sz w:val="24"/>
          <w:szCs w:val="24"/>
        </w:rPr>
        <w:t>Пътят е проектиран с елементи в план за проектна скорост 30 км./ч. с максимално ползване на съществуващия път .</w:t>
      </w:r>
    </w:p>
    <w:p w:rsidR="000B43D7" w:rsidRPr="000E65C3" w:rsidRDefault="000B43D7" w:rsidP="000E65C3">
      <w:pPr>
        <w:spacing w:line="276" w:lineRule="auto"/>
        <w:ind w:firstLine="720"/>
        <w:jc w:val="both"/>
        <w:rPr>
          <w:lang w:eastAsia="en-US"/>
        </w:rPr>
      </w:pPr>
      <w:r w:rsidRPr="000E65C3">
        <w:rPr>
          <w:lang w:eastAsia="en-US"/>
        </w:rPr>
        <w:t xml:space="preserve">Нивелета на пътя е проектирана с прави и вертикални криви при максимално следване нивелетата на съществуващия път. В този участък тя е  така повдигната, че да се положи пълна конструкция на пътя. </w:t>
      </w:r>
    </w:p>
    <w:p w:rsidR="000B43D7" w:rsidRPr="000E65C3" w:rsidRDefault="000B43D7" w:rsidP="000E65C3">
      <w:pPr>
        <w:spacing w:line="276" w:lineRule="auto"/>
        <w:ind w:firstLine="720"/>
        <w:jc w:val="both"/>
        <w:rPr>
          <w:lang w:eastAsia="en-US"/>
        </w:rPr>
      </w:pPr>
      <w:r w:rsidRPr="000E65C3">
        <w:rPr>
          <w:lang w:eastAsia="en-US"/>
        </w:rPr>
        <w:t>В началото и края, нивелетните рамена са обвързани и обезпечават предхождащия и следващия участък от пътя.</w:t>
      </w:r>
    </w:p>
    <w:p w:rsidR="000E65C3" w:rsidRPr="000E65C3" w:rsidRDefault="000E65C3" w:rsidP="000E65C3">
      <w:pPr>
        <w:spacing w:line="276" w:lineRule="auto"/>
        <w:ind w:firstLine="720"/>
        <w:jc w:val="both"/>
        <w:rPr>
          <w:lang w:val="en-US" w:eastAsia="en-US"/>
        </w:rPr>
      </w:pPr>
      <w:r w:rsidRPr="000E65C3">
        <w:rPr>
          <w:lang w:eastAsia="en-US"/>
        </w:rPr>
        <w:t>Отводняването на пътното платно се осъществява повърхносттно чрез надлъжните и напречните наклони, облицован окоп от км 4+745  до 5+020</w:t>
      </w:r>
      <w:r w:rsidRPr="000E65C3">
        <w:rPr>
          <w:lang w:val="en-US" w:eastAsia="en-US"/>
        </w:rPr>
        <w:t xml:space="preserve"> </w:t>
      </w:r>
      <w:r w:rsidRPr="000E65C3">
        <w:rPr>
          <w:lang w:eastAsia="en-US"/>
        </w:rPr>
        <w:t>в дясно от остта и от км 4+840 до км 5+020 в ляво от остта.</w:t>
      </w:r>
    </w:p>
    <w:p w:rsidR="000E65C3" w:rsidRPr="000E65C3" w:rsidRDefault="000E65C3" w:rsidP="000E65C3">
      <w:pPr>
        <w:spacing w:line="276" w:lineRule="auto"/>
        <w:ind w:firstLine="720"/>
        <w:jc w:val="both"/>
        <w:rPr>
          <w:lang w:eastAsia="en-US"/>
        </w:rPr>
      </w:pPr>
      <w:r w:rsidRPr="000E65C3">
        <w:rPr>
          <w:lang w:eastAsia="en-US"/>
        </w:rPr>
        <w:t xml:space="preserve">Изготвен е и чертеж </w:t>
      </w:r>
      <w:r w:rsidRPr="000E65C3">
        <w:rPr>
          <w:b/>
          <w:lang w:eastAsia="en-US"/>
        </w:rPr>
        <w:t>“План за отводняване” в М 1:1000</w:t>
      </w:r>
      <w:r w:rsidRPr="000E65C3">
        <w:rPr>
          <w:lang w:eastAsia="en-US"/>
        </w:rPr>
        <w:t xml:space="preserve">  с необходими означения и котировки.</w:t>
      </w:r>
    </w:p>
    <w:p w:rsidR="000B43D7" w:rsidRDefault="000B43D7" w:rsidP="000E65C3">
      <w:pPr>
        <w:autoSpaceDE w:val="0"/>
        <w:autoSpaceDN w:val="0"/>
        <w:adjustRightInd w:val="0"/>
        <w:spacing w:line="276" w:lineRule="auto"/>
        <w:ind w:firstLine="680"/>
        <w:jc w:val="both"/>
        <w:rPr>
          <w:color w:val="000000"/>
        </w:rPr>
      </w:pPr>
    </w:p>
    <w:p w:rsidR="000B43D7" w:rsidRPr="00CA626C" w:rsidRDefault="000B43D7" w:rsidP="000E65C3">
      <w:pPr>
        <w:tabs>
          <w:tab w:val="left" w:pos="0"/>
          <w:tab w:val="left" w:pos="180"/>
          <w:tab w:val="left" w:pos="360"/>
        </w:tabs>
        <w:autoSpaceDE w:val="0"/>
        <w:autoSpaceDN w:val="0"/>
        <w:adjustRightInd w:val="0"/>
        <w:spacing w:line="276" w:lineRule="auto"/>
        <w:ind w:right="-7"/>
        <w:jc w:val="both"/>
        <w:rPr>
          <w:b/>
        </w:rPr>
      </w:pPr>
      <w:r w:rsidRPr="00CA626C">
        <w:rPr>
          <w:b/>
        </w:rPr>
        <w:t>2.2. Описание на видове работи.</w:t>
      </w:r>
    </w:p>
    <w:p w:rsidR="000B43D7" w:rsidRDefault="000B43D7" w:rsidP="000E65C3">
      <w:pPr>
        <w:tabs>
          <w:tab w:val="left" w:pos="0"/>
          <w:tab w:val="left" w:pos="180"/>
          <w:tab w:val="left" w:pos="360"/>
        </w:tabs>
        <w:autoSpaceDE w:val="0"/>
        <w:autoSpaceDN w:val="0"/>
        <w:adjustRightInd w:val="0"/>
        <w:spacing w:line="276" w:lineRule="auto"/>
        <w:ind w:right="-7"/>
        <w:jc w:val="both"/>
      </w:pPr>
    </w:p>
    <w:p w:rsidR="000B43D7" w:rsidRDefault="000E65C3" w:rsidP="000E65C3">
      <w:pPr>
        <w:autoSpaceDE w:val="0"/>
        <w:autoSpaceDN w:val="0"/>
        <w:adjustRightInd w:val="0"/>
        <w:spacing w:line="276" w:lineRule="auto"/>
        <w:ind w:firstLine="680"/>
        <w:jc w:val="both"/>
      </w:pPr>
      <w:r w:rsidRPr="000B43D7">
        <w:rPr>
          <w:color w:val="000000"/>
        </w:rPr>
        <w:t>За определяне обема на строителството и видовите строително-монтажни работи е изработена количествена сметка</w:t>
      </w:r>
      <w:r>
        <w:rPr>
          <w:color w:val="000000"/>
        </w:rPr>
        <w:t>:</w:t>
      </w:r>
    </w:p>
    <w:p w:rsidR="000B43D7" w:rsidRDefault="000B43D7" w:rsidP="000E65C3">
      <w:pPr>
        <w:spacing w:line="276" w:lineRule="auto"/>
        <w:ind w:right="-7" w:firstLine="600"/>
        <w:jc w:val="both"/>
        <w:rPr>
          <w:b/>
        </w:rPr>
      </w:pPr>
    </w:p>
    <w:tbl>
      <w:tblPr>
        <w:tblW w:w="9987" w:type="dxa"/>
        <w:jc w:val="center"/>
        <w:tblLook w:val="04A0" w:firstRow="1" w:lastRow="0" w:firstColumn="1" w:lastColumn="0" w:noHBand="0" w:noVBand="1"/>
      </w:tblPr>
      <w:tblGrid>
        <w:gridCol w:w="1085"/>
        <w:gridCol w:w="6418"/>
        <w:gridCol w:w="1092"/>
        <w:gridCol w:w="1392"/>
      </w:tblGrid>
      <w:tr w:rsidR="000E65C3" w:rsidRPr="000E65C3" w:rsidTr="00CB2A57">
        <w:trPr>
          <w:trHeight w:val="825"/>
          <w:jc w:val="center"/>
        </w:trPr>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5C3" w:rsidRPr="000E65C3" w:rsidRDefault="000E65C3" w:rsidP="000E65C3">
            <w:pPr>
              <w:spacing w:line="276" w:lineRule="auto"/>
              <w:jc w:val="center"/>
              <w:rPr>
                <w:b/>
                <w:bCs/>
                <w:sz w:val="22"/>
                <w:szCs w:val="22"/>
                <w:lang w:val="en-GB" w:eastAsia="en-GB"/>
              </w:rPr>
            </w:pPr>
            <w:r w:rsidRPr="000E65C3">
              <w:rPr>
                <w:b/>
                <w:bCs/>
                <w:sz w:val="22"/>
                <w:szCs w:val="22"/>
                <w:lang w:val="en-GB" w:eastAsia="en-GB"/>
              </w:rPr>
              <w:t>Позиция</w:t>
            </w:r>
          </w:p>
        </w:tc>
        <w:tc>
          <w:tcPr>
            <w:tcW w:w="6418" w:type="dxa"/>
            <w:tcBorders>
              <w:top w:val="single" w:sz="8" w:space="0" w:color="auto"/>
              <w:left w:val="nil"/>
              <w:bottom w:val="single" w:sz="8" w:space="0" w:color="auto"/>
              <w:right w:val="single" w:sz="8" w:space="0" w:color="000000"/>
            </w:tcBorders>
            <w:shd w:val="clear" w:color="auto" w:fill="auto"/>
            <w:vAlign w:val="center"/>
            <w:hideMark/>
          </w:tcPr>
          <w:p w:rsidR="000E65C3" w:rsidRPr="000E65C3" w:rsidRDefault="000E65C3" w:rsidP="000E65C3">
            <w:pPr>
              <w:spacing w:line="276" w:lineRule="auto"/>
              <w:jc w:val="center"/>
              <w:rPr>
                <w:b/>
                <w:bCs/>
                <w:sz w:val="22"/>
                <w:szCs w:val="22"/>
                <w:lang w:val="en-GB" w:eastAsia="en-GB"/>
              </w:rPr>
            </w:pPr>
            <w:r w:rsidRPr="000E65C3">
              <w:rPr>
                <w:b/>
                <w:bCs/>
                <w:sz w:val="22"/>
                <w:szCs w:val="22"/>
                <w:lang w:val="en-GB" w:eastAsia="en-GB"/>
              </w:rPr>
              <w:t>Видове работи</w:t>
            </w:r>
          </w:p>
        </w:tc>
        <w:tc>
          <w:tcPr>
            <w:tcW w:w="1092" w:type="dxa"/>
            <w:tcBorders>
              <w:top w:val="single" w:sz="8" w:space="0" w:color="auto"/>
              <w:left w:val="nil"/>
              <w:bottom w:val="single" w:sz="8" w:space="0" w:color="auto"/>
              <w:right w:val="nil"/>
            </w:tcBorders>
            <w:shd w:val="clear" w:color="auto" w:fill="auto"/>
            <w:vAlign w:val="center"/>
            <w:hideMark/>
          </w:tcPr>
          <w:p w:rsidR="000E65C3" w:rsidRPr="000E65C3" w:rsidRDefault="000E65C3" w:rsidP="000E65C3">
            <w:pPr>
              <w:spacing w:line="276" w:lineRule="auto"/>
              <w:jc w:val="center"/>
              <w:rPr>
                <w:b/>
                <w:bCs/>
                <w:sz w:val="22"/>
                <w:szCs w:val="22"/>
                <w:lang w:val="en-GB" w:eastAsia="en-GB"/>
              </w:rPr>
            </w:pPr>
            <w:r w:rsidRPr="000E65C3">
              <w:rPr>
                <w:b/>
                <w:bCs/>
                <w:sz w:val="22"/>
                <w:szCs w:val="22"/>
                <w:lang w:val="en-GB" w:eastAsia="en-GB"/>
              </w:rPr>
              <w:t>Единица мярка</w:t>
            </w:r>
          </w:p>
        </w:tc>
        <w:tc>
          <w:tcPr>
            <w:tcW w:w="13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5C3" w:rsidRPr="000E65C3" w:rsidRDefault="000E65C3" w:rsidP="000E65C3">
            <w:pPr>
              <w:spacing w:line="276" w:lineRule="auto"/>
              <w:jc w:val="center"/>
              <w:rPr>
                <w:b/>
                <w:bCs/>
                <w:sz w:val="22"/>
                <w:szCs w:val="22"/>
                <w:lang w:val="en-GB" w:eastAsia="en-GB"/>
              </w:rPr>
            </w:pPr>
            <w:r w:rsidRPr="000E65C3">
              <w:rPr>
                <w:b/>
                <w:bCs/>
                <w:sz w:val="22"/>
                <w:szCs w:val="22"/>
                <w:lang w:val="en-GB" w:eastAsia="en-GB"/>
              </w:rPr>
              <w:t>Количество</w:t>
            </w:r>
          </w:p>
        </w:tc>
      </w:tr>
      <w:tr w:rsidR="000E65C3" w:rsidRPr="000E65C3" w:rsidTr="00CB2A57">
        <w:trPr>
          <w:trHeight w:val="34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Изкоп скални почви (неподходящ материал)</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1422.96</w:t>
            </w:r>
          </w:p>
        </w:tc>
      </w:tr>
      <w:tr w:rsidR="000E65C3" w:rsidRPr="000E65C3" w:rsidTr="00CB2A57">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2</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 xml:space="preserve">Насип за банкет от скални почви </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3</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314.43</w:t>
            </w:r>
          </w:p>
        </w:tc>
      </w:tr>
      <w:tr w:rsidR="000E65C3" w:rsidRPr="000E65C3" w:rsidTr="00CB2A57">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3</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Несортиран трошен камък 0-63</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3</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647.81</w:t>
            </w:r>
          </w:p>
        </w:tc>
      </w:tr>
      <w:tr w:rsidR="000E65C3" w:rsidRPr="000E65C3" w:rsidTr="00CB2A57">
        <w:trPr>
          <w:trHeight w:val="5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4</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Асфалтова смес за основни пластове (битуминизиран трошен камък).</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т</w:t>
            </w:r>
          </w:p>
        </w:tc>
        <w:tc>
          <w:tcPr>
            <w:tcW w:w="1392" w:type="dxa"/>
            <w:tcBorders>
              <w:top w:val="nil"/>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129.04</w:t>
            </w:r>
          </w:p>
        </w:tc>
      </w:tr>
      <w:tr w:rsidR="000E65C3" w:rsidRPr="000E65C3" w:rsidTr="00CB2A57">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5</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 xml:space="preserve">Плътен асфалтобетон </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1071.70</w:t>
            </w:r>
          </w:p>
        </w:tc>
      </w:tr>
      <w:tr w:rsidR="000E65C3" w:rsidRPr="000E65C3" w:rsidTr="00CB2A57">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6</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Първи битумен разлив</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1174.00</w:t>
            </w:r>
          </w:p>
        </w:tc>
      </w:tr>
      <w:tr w:rsidR="000E65C3" w:rsidRPr="000E65C3" w:rsidTr="00CB2A57">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7</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Втори битумен разлив</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1143.00</w:t>
            </w:r>
          </w:p>
        </w:tc>
      </w:tr>
      <w:tr w:rsidR="000E65C3" w:rsidRPr="000E65C3" w:rsidTr="00CB2A57">
        <w:trPr>
          <w:trHeight w:val="85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8</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Облицовани отводнителни окопи със стоманобетонов елемент 150/100, включително всички материали и разходи, необходими за изпълнението.</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308.00</w:t>
            </w:r>
          </w:p>
        </w:tc>
      </w:tr>
      <w:tr w:rsidR="000E65C3" w:rsidRPr="000E65C3" w:rsidTr="00CB2A57">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9</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Тръба Ф400</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14.90</w:t>
            </w:r>
          </w:p>
        </w:tc>
      </w:tr>
      <w:tr w:rsidR="000E65C3" w:rsidRPr="000E65C3" w:rsidTr="00CB2A57">
        <w:trPr>
          <w:trHeight w:val="85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10</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Бетон клас за подпорни стенички XC4, EN206-1, положен на място и всички материали и разходи, необходими за изпълнението.</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3</w:t>
            </w:r>
          </w:p>
        </w:tc>
        <w:tc>
          <w:tcPr>
            <w:tcW w:w="1392" w:type="dxa"/>
            <w:tcBorders>
              <w:top w:val="nil"/>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0.20</w:t>
            </w:r>
          </w:p>
        </w:tc>
      </w:tr>
      <w:tr w:rsidR="000E65C3" w:rsidRPr="000E65C3" w:rsidTr="00CB2A57">
        <w:trPr>
          <w:trHeight w:val="34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11</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Направа на хоризонтална пътна маркировка с перли</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85.95</w:t>
            </w:r>
          </w:p>
        </w:tc>
      </w:tr>
      <w:tr w:rsidR="000E65C3" w:rsidRPr="000E65C3" w:rsidTr="00CB2A57">
        <w:trPr>
          <w:trHeight w:val="5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12</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Направа на стандартни пътни знаци І  типоразмер светлоотразителни</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3.00</w:t>
            </w:r>
          </w:p>
        </w:tc>
      </w:tr>
      <w:tr w:rsidR="000E65C3" w:rsidRPr="000E65C3" w:rsidTr="00CB2A57">
        <w:trPr>
          <w:trHeight w:val="5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13</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sz w:val="22"/>
                <w:szCs w:val="22"/>
                <w:lang w:val="en-GB" w:eastAsia="en-GB"/>
              </w:rPr>
            </w:pPr>
            <w:r w:rsidRPr="000E65C3">
              <w:rPr>
                <w:sz w:val="22"/>
                <w:szCs w:val="22"/>
                <w:lang w:val="en-GB" w:eastAsia="en-GB"/>
              </w:rPr>
              <w:t>Стълбове за пътни знаци и укрепване на стандартни знаци, включително всички свързани с това разходи.</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sz w:val="22"/>
                <w:szCs w:val="22"/>
                <w:lang w:val="en-GB" w:eastAsia="en-GB"/>
              </w:rPr>
            </w:pPr>
            <w:r w:rsidRPr="000E65C3">
              <w:rPr>
                <w:sz w:val="22"/>
                <w:szCs w:val="22"/>
                <w:lang w:val="en-GB" w:eastAsia="en-GB"/>
              </w:rPr>
              <w:t>3.00</w:t>
            </w:r>
          </w:p>
        </w:tc>
      </w:tr>
    </w:tbl>
    <w:p w:rsidR="000B43D7" w:rsidRPr="00CA626C" w:rsidRDefault="000B43D7" w:rsidP="000E65C3">
      <w:pPr>
        <w:numPr>
          <w:ilvl w:val="0"/>
          <w:numId w:val="2"/>
        </w:numPr>
        <w:spacing w:line="276" w:lineRule="auto"/>
        <w:ind w:right="-7"/>
        <w:jc w:val="both"/>
      </w:pPr>
      <w:r w:rsidRPr="00CA626C">
        <w:rPr>
          <w:b/>
          <w:bCs/>
          <w:color w:val="000000"/>
        </w:rPr>
        <w:lastRenderedPageBreak/>
        <w:t>Изисквания към изпълнението на строителството</w:t>
      </w:r>
    </w:p>
    <w:p w:rsidR="000B43D7" w:rsidRPr="00CA626C" w:rsidRDefault="000B43D7" w:rsidP="000E65C3">
      <w:pPr>
        <w:tabs>
          <w:tab w:val="left" w:pos="-600"/>
          <w:tab w:val="left" w:pos="-567"/>
        </w:tabs>
        <w:spacing w:line="276" w:lineRule="auto"/>
        <w:rPr>
          <w:rFonts w:eastAsia="Calibri"/>
          <w:b/>
          <w:bCs/>
        </w:rPr>
      </w:pPr>
      <w:bookmarkStart w:id="0" w:name="_Toc409109029"/>
    </w:p>
    <w:p w:rsidR="000B43D7" w:rsidRPr="00CA626C" w:rsidRDefault="000B43D7" w:rsidP="000E65C3">
      <w:pPr>
        <w:tabs>
          <w:tab w:val="left" w:pos="-600"/>
          <w:tab w:val="left" w:pos="-567"/>
        </w:tabs>
        <w:spacing w:line="276" w:lineRule="auto"/>
        <w:rPr>
          <w:rFonts w:eastAsia="Calibri"/>
          <w:b/>
          <w:bCs/>
          <w:i/>
        </w:rPr>
      </w:pPr>
      <w:r w:rsidRPr="00CA626C">
        <w:rPr>
          <w:rFonts w:eastAsia="Calibri"/>
          <w:b/>
          <w:bCs/>
          <w:i/>
        </w:rPr>
        <w:t>Общи и специфични изисквания към строителните продукти</w:t>
      </w:r>
      <w:bookmarkEnd w:id="0"/>
      <w:r w:rsidRPr="00CA626C">
        <w:rPr>
          <w:rFonts w:eastAsia="Calibri"/>
          <w:b/>
          <w:bCs/>
          <w:i/>
        </w:rPr>
        <w:t>.</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Строителните продукти, предназначени за трайно влагане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0B43D7" w:rsidRPr="00CA626C" w:rsidRDefault="000B43D7" w:rsidP="000E65C3">
      <w:pPr>
        <w:tabs>
          <w:tab w:val="left" w:pos="-600"/>
          <w:tab w:val="left" w:pos="-567"/>
        </w:tabs>
        <w:spacing w:after="120" w:line="276" w:lineRule="auto"/>
        <w:jc w:val="both"/>
        <w:rPr>
          <w:rFonts w:eastAsia="Calibri"/>
          <w:u w:val="single"/>
        </w:rPr>
      </w:pPr>
      <w:r w:rsidRPr="00CA626C">
        <w:rPr>
          <w:rFonts w:eastAsia="Calibri"/>
          <w:u w:val="single"/>
        </w:rPr>
        <w:t>По смисъла на Регламент № 305:</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строителен продукт</w:t>
      </w:r>
      <w:r w:rsidRPr="00CA626C">
        <w:rPr>
          <w:rFonts w:eastAsia="Calibri"/>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комплект</w:t>
      </w:r>
      <w:r w:rsidRPr="00CA626C">
        <w:rPr>
          <w:rFonts w:eastAsia="Calibri"/>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съществени характеристики</w:t>
      </w:r>
      <w:r w:rsidRPr="00CA626C">
        <w:rPr>
          <w:rFonts w:eastAsia="Calibri"/>
        </w:rPr>
        <w:t>“ означава онези характеристики на строителния продукт, които имат отношение към основните изисквания към строежите;</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експлоатационни показатели на строителния продукт</w:t>
      </w:r>
      <w:r w:rsidRPr="00CA626C">
        <w:rPr>
          <w:rFonts w:eastAsia="Calibri"/>
        </w:rPr>
        <w:t>“ означава експлоатационните показатели, свързани със съответните съществени характеристики, изразени като ниво, клас или в описание.</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Редът за прилагане на техническите спецификации на строителните продукти е в съответствие с Регламент № 305, чл.5, ал.2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 xml:space="preserve">1) </w:t>
      </w:r>
      <w:r w:rsidRPr="00CA626C">
        <w:rPr>
          <w:rFonts w:eastAsia="Calibri"/>
          <w:i/>
          <w:iCs/>
        </w:rPr>
        <w:t>декларация за експлоатационни показатели</w:t>
      </w:r>
      <w:r w:rsidRPr="00CA626C">
        <w:rPr>
          <w:rFonts w:eastAsia="Calibri"/>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 xml:space="preserve">2) </w:t>
      </w:r>
      <w:r w:rsidRPr="00CA626C">
        <w:rPr>
          <w:rFonts w:eastAsia="Calibri"/>
          <w:i/>
          <w:iCs/>
        </w:rPr>
        <w:t>декларация за характеристиките на строителния продукт</w:t>
      </w:r>
      <w:r w:rsidRPr="00CA626C">
        <w:rPr>
          <w:rFonts w:eastAsia="Calibri"/>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lastRenderedPageBreak/>
        <w:t>3)</w:t>
      </w:r>
      <w:r>
        <w:rPr>
          <w:rFonts w:eastAsia="Calibri"/>
        </w:rPr>
        <w:t xml:space="preserve"> </w:t>
      </w:r>
      <w:r w:rsidRPr="00CA626C">
        <w:rPr>
          <w:rFonts w:eastAsia="Calibri"/>
          <w:i/>
          <w:iCs/>
        </w:rPr>
        <w:t>декларация за съответствие с изискванията на инвестиционния проект</w:t>
      </w:r>
      <w:r w:rsidRPr="00CA626C">
        <w:rPr>
          <w:rFonts w:eastAsia="Calibri"/>
        </w:rPr>
        <w:t>, когато  строителните продукти са произведени индивидуално или по заявка, не чрез серийно производство, за влагане в един единствен строеж.</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0B43D7" w:rsidRPr="00CA626C" w:rsidRDefault="000B43D7" w:rsidP="000E65C3">
      <w:pPr>
        <w:tabs>
          <w:tab w:val="left" w:pos="-600"/>
          <w:tab w:val="left" w:pos="-567"/>
        </w:tabs>
        <w:spacing w:after="120" w:line="276" w:lineRule="auto"/>
        <w:jc w:val="both"/>
        <w:rPr>
          <w:rFonts w:eastAsia="Calibri"/>
          <w:shd w:val="clear" w:color="auto" w:fill="FEFEFE"/>
        </w:rPr>
      </w:pPr>
      <w:r w:rsidRPr="00CA626C">
        <w:rPr>
          <w:rFonts w:eastAsia="Calibri"/>
          <w:shd w:val="clear" w:color="auto" w:fill="FEFEFE"/>
        </w:rPr>
        <w:t>На строежа се доставят само строителни продукти, които притежават подходящи характеристики и само такива, които са заложени в проектите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0B43D7" w:rsidRPr="00CA626C" w:rsidRDefault="000B43D7" w:rsidP="000E65C3">
      <w:pPr>
        <w:tabs>
          <w:tab w:val="left" w:pos="-600"/>
          <w:tab w:val="left" w:pos="-567"/>
        </w:tabs>
        <w:spacing w:after="120" w:line="276" w:lineRule="auto"/>
        <w:jc w:val="both"/>
        <w:rPr>
          <w:rFonts w:eastAsia="Calibri"/>
          <w:shd w:val="clear" w:color="auto" w:fill="FEFEFE"/>
        </w:rPr>
      </w:pPr>
      <w:r w:rsidRPr="00CA626C">
        <w:rPr>
          <w:rFonts w:eastAsia="Calibri"/>
          <w:shd w:val="clear" w:color="auto" w:fill="FEFEFE"/>
        </w:rPr>
        <w:t>За всяка доставка се съставя протокол за приемане от консултантът, упражняващ строителен надзор на строежа, проектанта и представителя на възложителя, упражняващ контрол по изпълнението.</w:t>
      </w:r>
    </w:p>
    <w:p w:rsidR="000E65C3" w:rsidRDefault="000E65C3" w:rsidP="000E65C3">
      <w:pPr>
        <w:spacing w:line="276" w:lineRule="auto"/>
        <w:rPr>
          <w:rFonts w:eastAsia="Calibri"/>
          <w:b/>
          <w:color w:val="000000"/>
          <w:shd w:val="clear" w:color="auto" w:fill="FFFFFF"/>
        </w:rPr>
      </w:pPr>
    </w:p>
    <w:p w:rsidR="000B43D7" w:rsidRPr="00CA626C" w:rsidRDefault="000B43D7" w:rsidP="000E65C3">
      <w:pPr>
        <w:spacing w:line="276" w:lineRule="auto"/>
        <w:rPr>
          <w:rFonts w:eastAsia="Calibri"/>
          <w:b/>
          <w:color w:val="000000"/>
          <w:shd w:val="clear" w:color="auto" w:fill="FFFFFF"/>
        </w:rPr>
      </w:pPr>
      <w:r w:rsidRPr="00CA626C">
        <w:rPr>
          <w:rFonts w:eastAsia="Calibri"/>
          <w:b/>
          <w:color w:val="000000"/>
          <w:shd w:val="clear" w:color="auto" w:fill="FFFFFF"/>
        </w:rPr>
        <w:t>Други изисквания:</w:t>
      </w:r>
    </w:p>
    <w:p w:rsidR="000B43D7" w:rsidRDefault="000B43D7" w:rsidP="000E65C3">
      <w:pPr>
        <w:widowControl w:val="0"/>
        <w:spacing w:after="64" w:line="276" w:lineRule="auto"/>
        <w:ind w:right="20"/>
        <w:jc w:val="both"/>
        <w:rPr>
          <w:rFonts w:eastAsia="Calibri"/>
          <w:color w:val="000000"/>
          <w:shd w:val="clear" w:color="auto" w:fill="FFFFFF"/>
        </w:rPr>
      </w:pPr>
    </w:p>
    <w:p w:rsidR="000B43D7" w:rsidRPr="00CA626C" w:rsidRDefault="000B43D7" w:rsidP="000E65C3">
      <w:pPr>
        <w:widowControl w:val="0"/>
        <w:spacing w:after="64" w:line="276" w:lineRule="auto"/>
        <w:ind w:right="20"/>
        <w:jc w:val="both"/>
        <w:rPr>
          <w:rFonts w:eastAsia="Calibri"/>
        </w:rPr>
      </w:pPr>
      <w:r w:rsidRPr="00CA626C">
        <w:rPr>
          <w:rFonts w:eastAsia="Calibri"/>
          <w:color w:val="000000"/>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0B43D7" w:rsidRPr="00CA626C" w:rsidRDefault="000B43D7" w:rsidP="000E65C3">
      <w:pPr>
        <w:widowControl w:val="0"/>
        <w:spacing w:after="60" w:line="276" w:lineRule="auto"/>
        <w:ind w:right="20"/>
        <w:jc w:val="both"/>
        <w:rPr>
          <w:rFonts w:eastAsia="Calibri"/>
        </w:rPr>
      </w:pPr>
      <w:r w:rsidRPr="00CA626C">
        <w:rPr>
          <w:rFonts w:eastAsia="Calibri"/>
          <w:color w:val="000000"/>
          <w:shd w:val="clear" w:color="auto" w:fill="FFFFFF"/>
        </w:rPr>
        <w:t>Изпълнителят точно и надлежно трябва да изпълни договорените работи с качество, съответстващо на ЗУТ и всички други нормативни изисквания, съответстващи на предмета на поръчката. Да съблюдава и спазва всички норми за предаване и приемане на СМР.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 при необходимост.</w:t>
      </w: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w:t>
      </w:r>
      <w:r w:rsidR="000E65C3">
        <w:rPr>
          <w:rFonts w:eastAsia="Calibri"/>
          <w:color w:val="000000"/>
          <w:shd w:val="clear" w:color="auto" w:fill="FFFFFF"/>
        </w:rPr>
        <w:t xml:space="preserve">по </w:t>
      </w:r>
      <w:r w:rsidRPr="00CA626C">
        <w:rPr>
          <w:rFonts w:eastAsia="Calibri"/>
          <w:color w:val="000000"/>
          <w:shd w:val="clear" w:color="auto" w:fill="FFFFFF"/>
        </w:rPr>
        <w:t>договора, ще се обявява писмено</w:t>
      </w:r>
      <w:r w:rsidR="000E65C3">
        <w:rPr>
          <w:rFonts w:eastAsia="Calibri"/>
          <w:color w:val="000000"/>
          <w:shd w:val="clear" w:color="auto" w:fill="FFFFFF"/>
        </w:rPr>
        <w:t xml:space="preserve"> от Изпълнителя</w:t>
      </w:r>
      <w:r w:rsidRPr="00CA626C">
        <w:rPr>
          <w:rFonts w:eastAsia="Calibri"/>
          <w:color w:val="000000"/>
          <w:shd w:val="clear" w:color="auto" w:fill="FFFFFF"/>
        </w:rPr>
        <w:t xml:space="preserve"> и </w:t>
      </w:r>
      <w:r w:rsidR="000E65C3">
        <w:rPr>
          <w:rFonts w:eastAsia="Calibri"/>
          <w:color w:val="000000"/>
          <w:shd w:val="clear" w:color="auto" w:fill="FFFFFF"/>
        </w:rPr>
        <w:t xml:space="preserve">ще се </w:t>
      </w:r>
      <w:r w:rsidRPr="00CA626C">
        <w:rPr>
          <w:rFonts w:eastAsia="Calibri"/>
          <w:color w:val="000000"/>
          <w:shd w:val="clear" w:color="auto" w:fill="FFFFFF"/>
        </w:rPr>
        <w:t xml:space="preserve">съгласува </w:t>
      </w:r>
      <w:r w:rsidR="000E65C3">
        <w:rPr>
          <w:rFonts w:eastAsia="Calibri"/>
          <w:color w:val="000000"/>
          <w:shd w:val="clear" w:color="auto" w:fill="FFFFFF"/>
        </w:rPr>
        <w:t xml:space="preserve">с </w:t>
      </w:r>
      <w:r w:rsidR="000E65C3" w:rsidRPr="00CA626C">
        <w:rPr>
          <w:rFonts w:eastAsia="Calibri"/>
          <w:color w:val="000000"/>
          <w:shd w:val="clear" w:color="auto" w:fill="FFFFFF"/>
        </w:rPr>
        <w:t xml:space="preserve">Възложителя </w:t>
      </w:r>
      <w:r w:rsidRPr="00CA626C">
        <w:rPr>
          <w:rFonts w:eastAsia="Calibri"/>
          <w:color w:val="000000"/>
          <w:shd w:val="clear" w:color="auto" w:fill="FFFFFF"/>
        </w:rPr>
        <w:t>преди каквато и да е промяна в проекта и по-нататъшното изпълнение на поръчката и строителството.</w:t>
      </w:r>
    </w:p>
    <w:p w:rsidR="000B43D7" w:rsidRPr="00CA626C" w:rsidRDefault="000B43D7" w:rsidP="000E65C3">
      <w:pPr>
        <w:keepNext/>
        <w:keepLines/>
        <w:widowControl w:val="0"/>
        <w:tabs>
          <w:tab w:val="left" w:pos="709"/>
        </w:tabs>
        <w:spacing w:line="276" w:lineRule="auto"/>
        <w:ind w:right="20"/>
        <w:jc w:val="both"/>
        <w:outlineLvl w:val="2"/>
        <w:rPr>
          <w:rFonts w:eastAsia="Calibri"/>
          <w:b/>
          <w:color w:val="000000"/>
          <w:shd w:val="clear" w:color="auto" w:fill="FFFFFF"/>
        </w:rPr>
      </w:pPr>
      <w:bookmarkStart w:id="1" w:name="bookmark7"/>
    </w:p>
    <w:p w:rsidR="000B43D7" w:rsidRPr="00CA626C" w:rsidRDefault="000B43D7" w:rsidP="000E65C3">
      <w:pPr>
        <w:keepNext/>
        <w:keepLines/>
        <w:widowControl w:val="0"/>
        <w:tabs>
          <w:tab w:val="left" w:pos="709"/>
        </w:tabs>
        <w:spacing w:line="276" w:lineRule="auto"/>
        <w:ind w:right="20"/>
        <w:jc w:val="both"/>
        <w:outlineLvl w:val="2"/>
        <w:rPr>
          <w:rFonts w:eastAsia="Calibri"/>
          <w:b/>
          <w:i/>
        </w:rPr>
      </w:pPr>
      <w:r w:rsidRPr="00CA626C">
        <w:rPr>
          <w:rFonts w:eastAsia="Calibri"/>
          <w:b/>
          <w:i/>
          <w:color w:val="000000"/>
          <w:shd w:val="clear" w:color="auto" w:fill="FFFFFF"/>
        </w:rPr>
        <w:t xml:space="preserve">Изисквания относно осигуряване на безопасни и здравословни условия на труд. </w:t>
      </w:r>
      <w:bookmarkEnd w:id="1"/>
    </w:p>
    <w:p w:rsidR="000B43D7" w:rsidRPr="00CA626C" w:rsidRDefault="000B43D7" w:rsidP="000E65C3">
      <w:pPr>
        <w:widowControl w:val="0"/>
        <w:spacing w:after="60" w:line="276" w:lineRule="auto"/>
        <w:ind w:right="20"/>
        <w:jc w:val="both"/>
        <w:rPr>
          <w:rFonts w:eastAsia="Calibri"/>
          <w:color w:val="000000"/>
          <w:shd w:val="clear" w:color="auto" w:fill="FFFFFF"/>
        </w:rPr>
      </w:pP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 xml:space="preserve">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w:t>
      </w:r>
      <w:r w:rsidRPr="00CA626C">
        <w:rPr>
          <w:rFonts w:eastAsia="Calibri"/>
          <w:color w:val="000000"/>
          <w:shd w:val="clear" w:color="auto" w:fill="FFFFFF"/>
        </w:rPr>
        <w:lastRenderedPageBreak/>
        <w:t>всички лица, които се намират на строителната площадка.</w:t>
      </w:r>
      <w:bookmarkStart w:id="2" w:name="bookmark8"/>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 xml:space="preserve">За осигуряване необходимата безопасност на труда по време на  строителството, всички работници е необходимо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w:t>
      </w: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Строителните машини (ако такива се използват)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Изпълнението на СМР трябва да се съобразят с всички нормативни актове по безопасност на труда за различните дейности, видове работи и работно оборудване, като:</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2  за минималните изисквания за здравословни и безопасни условия на труд при извършване на строителни и монтажни работи (ДВ, бр.37 от 2004 г.);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РД-07-2 от 16.12.2009 г.</w:t>
      </w:r>
      <w:r w:rsidR="000E65C3">
        <w:rPr>
          <w:rFonts w:eastAsia="Calibri"/>
          <w:color w:val="000000"/>
          <w:shd w:val="clear" w:color="auto" w:fill="FFFFFF"/>
        </w:rPr>
        <w:t xml:space="preserve"> </w:t>
      </w:r>
      <w:r w:rsidRPr="00CA626C">
        <w:rPr>
          <w:rFonts w:eastAsia="Calibri"/>
          <w:color w:val="000000"/>
          <w:shd w:val="clear" w:color="auto" w:fill="FFFFFF"/>
        </w:rPr>
        <w:t xml:space="preserve">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3 за задължителните предварителни и периодични медицински прегледи (обн., ДВ, бр.16 от 1987 г., изм. бр.65 от 1991 г. и бр.102 от 1994 г., 78 от 2005 г.)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5 за осигуряване на здравословни и безопасни условия на труд на работниците по срочно трудово правоотношение или временно трудово правоотношение (ДВ, бр.43 от 2006 г.)</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3 за минималните изисквания за безопасност и опазване на здравето на работещите при използване на лични предпазни средства на работното място. (ДВ, бр.46 от 2001 г.) </w:t>
      </w:r>
    </w:p>
    <w:p w:rsidR="000B43D7" w:rsidRPr="00CA626C" w:rsidRDefault="000B43D7" w:rsidP="000E65C3">
      <w:pPr>
        <w:widowControl w:val="0"/>
        <w:spacing w:after="60" w:line="276" w:lineRule="auto"/>
        <w:ind w:right="20" w:firstLine="720"/>
        <w:jc w:val="both"/>
        <w:rPr>
          <w:rFonts w:eastAsia="Calibri"/>
          <w:b/>
          <w:color w:val="000000"/>
          <w:shd w:val="clear" w:color="auto" w:fill="FFFFFF"/>
        </w:rPr>
      </w:pPr>
      <w:r w:rsidRPr="00CA626C">
        <w:rPr>
          <w:rFonts w:eastAsia="Calibri"/>
          <w:color w:val="000000"/>
          <w:shd w:val="clear" w:color="auto" w:fill="FFFFFF"/>
        </w:rPr>
        <w:t>- Наредба № РД-07/8 от 20.12.2008 г. за минималните изисквания за знаци и сигнали за безопасност и/или здраве при работа</w:t>
      </w:r>
    </w:p>
    <w:p w:rsidR="000B43D7" w:rsidRPr="00CA626C" w:rsidRDefault="000B43D7" w:rsidP="000E65C3">
      <w:pPr>
        <w:keepNext/>
        <w:keepLines/>
        <w:widowControl w:val="0"/>
        <w:spacing w:line="276" w:lineRule="auto"/>
        <w:ind w:right="20"/>
        <w:jc w:val="both"/>
        <w:outlineLvl w:val="2"/>
        <w:rPr>
          <w:rFonts w:eastAsia="Calibri"/>
          <w:b/>
          <w:color w:val="000000"/>
          <w:shd w:val="clear" w:color="auto" w:fill="FFFFFF"/>
        </w:rPr>
      </w:pPr>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r w:rsidRPr="00CA626C">
        <w:rPr>
          <w:rFonts w:eastAsia="Calibri"/>
          <w:b/>
          <w:i/>
          <w:color w:val="000000"/>
          <w:shd w:val="clear" w:color="auto" w:fill="FFFFFF"/>
        </w:rPr>
        <w:t>Изисквания относно опазване на околната среда.</w:t>
      </w:r>
      <w:bookmarkEnd w:id="2"/>
    </w:p>
    <w:p w:rsidR="000B43D7" w:rsidRPr="00CA626C" w:rsidRDefault="000B43D7" w:rsidP="000E65C3">
      <w:pPr>
        <w:keepNext/>
        <w:keepLines/>
        <w:widowControl w:val="0"/>
        <w:spacing w:line="276" w:lineRule="auto"/>
        <w:ind w:right="20"/>
        <w:jc w:val="both"/>
        <w:outlineLvl w:val="2"/>
        <w:rPr>
          <w:rFonts w:eastAsia="Calibri"/>
          <w:b/>
        </w:rPr>
      </w:pP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0B43D7" w:rsidRPr="00CA626C" w:rsidRDefault="000B43D7" w:rsidP="000E65C3">
      <w:pPr>
        <w:widowControl w:val="0"/>
        <w:spacing w:line="276" w:lineRule="auto"/>
        <w:ind w:right="20"/>
        <w:jc w:val="both"/>
        <w:rPr>
          <w:rFonts w:eastAsia="Calibri"/>
          <w:color w:val="000000"/>
          <w:shd w:val="clear" w:color="auto" w:fill="FFFFFF"/>
        </w:rPr>
      </w:pPr>
      <w:r w:rsidRPr="00CA626C">
        <w:rPr>
          <w:rFonts w:eastAsia="Calibri"/>
          <w:color w:val="000000"/>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B43D7" w:rsidRPr="00CA626C" w:rsidRDefault="000B43D7" w:rsidP="000E65C3">
      <w:pPr>
        <w:widowControl w:val="0"/>
        <w:spacing w:line="276" w:lineRule="auto"/>
        <w:ind w:right="20"/>
        <w:jc w:val="both"/>
        <w:rPr>
          <w:rFonts w:eastAsia="Calibri"/>
        </w:rPr>
      </w:pPr>
      <w:r w:rsidRPr="00CA626C">
        <w:rPr>
          <w:rFonts w:eastAsia="Calibri"/>
        </w:rPr>
        <w:t>Изпълнителят трябва да предприеме мерки за опазването на околната среда по време на строителството, съгласно добрите строителни практики и при спазване на Закона за управление на отпадъците и нормативната уредба в областта на екологията и опазване на околната среда.</w:t>
      </w:r>
    </w:p>
    <w:p w:rsidR="000B43D7" w:rsidRPr="00CA626C" w:rsidRDefault="000B43D7" w:rsidP="000E65C3">
      <w:pPr>
        <w:widowControl w:val="0"/>
        <w:spacing w:line="276" w:lineRule="auto"/>
        <w:ind w:right="20"/>
        <w:jc w:val="both"/>
        <w:rPr>
          <w:rFonts w:eastAsia="Calibri"/>
        </w:rPr>
      </w:pPr>
      <w:r w:rsidRPr="00CA626C">
        <w:rPr>
          <w:rFonts w:eastAsia="Calibri"/>
        </w:rPr>
        <w:t xml:space="preserve">Изсичането на дървета и унищожаването на съществуващи зелени площи (ако това се </w:t>
      </w:r>
      <w:r w:rsidRPr="00CA626C">
        <w:rPr>
          <w:rFonts w:eastAsia="Calibri"/>
        </w:rPr>
        <w:lastRenderedPageBreak/>
        <w:t xml:space="preserve">налага) става след разрешение издадено от Общината по реда определен в действащата Наредба на Общински съвет - </w:t>
      </w:r>
      <w:r w:rsidR="000E65C3">
        <w:rPr>
          <w:rFonts w:eastAsia="Calibri"/>
        </w:rPr>
        <w:t>Панагюрище</w:t>
      </w:r>
      <w:r w:rsidRPr="00CA626C">
        <w:rPr>
          <w:rFonts w:eastAsia="Calibri"/>
        </w:rPr>
        <w:t>.</w:t>
      </w:r>
    </w:p>
    <w:p w:rsidR="000B43D7" w:rsidRPr="00CA626C" w:rsidRDefault="000B43D7" w:rsidP="000E65C3">
      <w:pPr>
        <w:keepNext/>
        <w:keepLines/>
        <w:widowControl w:val="0"/>
        <w:spacing w:line="276" w:lineRule="auto"/>
        <w:ind w:right="20"/>
        <w:outlineLvl w:val="2"/>
        <w:rPr>
          <w:rFonts w:eastAsia="Calibri"/>
          <w:b/>
          <w:color w:val="000000"/>
          <w:shd w:val="clear" w:color="auto" w:fill="FFFFFF"/>
        </w:rPr>
      </w:pPr>
      <w:bookmarkStart w:id="3" w:name="bookmark9"/>
    </w:p>
    <w:p w:rsidR="000B43D7" w:rsidRPr="00CA626C" w:rsidRDefault="000B43D7" w:rsidP="000E65C3">
      <w:pPr>
        <w:keepNext/>
        <w:keepLines/>
        <w:widowControl w:val="0"/>
        <w:spacing w:line="276" w:lineRule="auto"/>
        <w:ind w:right="20"/>
        <w:outlineLvl w:val="2"/>
        <w:rPr>
          <w:rFonts w:eastAsia="Calibri"/>
          <w:b/>
          <w:i/>
        </w:rPr>
      </w:pPr>
      <w:r w:rsidRPr="00CA626C">
        <w:rPr>
          <w:rFonts w:eastAsia="Calibri"/>
          <w:b/>
          <w:i/>
          <w:color w:val="000000"/>
          <w:shd w:val="clear" w:color="auto" w:fill="FFFFFF"/>
        </w:rPr>
        <w:t>Системи за проверка и контрол на работите в процеса на тяхното изпълнение.</w:t>
      </w:r>
      <w:bookmarkEnd w:id="3"/>
    </w:p>
    <w:p w:rsidR="000B43D7" w:rsidRPr="00CA626C" w:rsidRDefault="000B43D7" w:rsidP="000E65C3">
      <w:pPr>
        <w:widowControl w:val="0"/>
        <w:spacing w:after="68" w:line="276" w:lineRule="auto"/>
        <w:ind w:right="20"/>
        <w:jc w:val="both"/>
        <w:rPr>
          <w:rFonts w:eastAsia="Calibri"/>
          <w:color w:val="000000"/>
          <w:shd w:val="clear" w:color="auto" w:fill="FFFFFF"/>
        </w:rPr>
      </w:pP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Чрез свои представители Възложителят по всяко време ще инспектира работите, ще контролира технологията на изпълнението и ще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0B43D7" w:rsidRPr="00CA626C" w:rsidRDefault="000B43D7" w:rsidP="000E65C3">
      <w:pPr>
        <w:widowControl w:val="0"/>
        <w:spacing w:after="95" w:line="276" w:lineRule="auto"/>
        <w:ind w:right="20"/>
        <w:jc w:val="both"/>
        <w:rPr>
          <w:rFonts w:eastAsia="Calibri"/>
        </w:rPr>
      </w:pPr>
      <w:r w:rsidRPr="00CA626C">
        <w:rPr>
          <w:rFonts w:eastAsia="Calibri"/>
          <w:color w:val="000000"/>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bookmarkStart w:id="4" w:name="bookmark10"/>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r w:rsidRPr="00CA626C">
        <w:rPr>
          <w:rFonts w:eastAsia="Calibri"/>
          <w:b/>
          <w:i/>
          <w:color w:val="000000"/>
          <w:shd w:val="clear" w:color="auto" w:fill="FFFFFF"/>
        </w:rPr>
        <w:t>Проверки и изпитвания.</w:t>
      </w:r>
      <w:bookmarkEnd w:id="4"/>
    </w:p>
    <w:p w:rsidR="000B43D7" w:rsidRPr="00CA626C" w:rsidRDefault="000B43D7" w:rsidP="000E65C3">
      <w:pPr>
        <w:widowControl w:val="0"/>
        <w:spacing w:after="56" w:line="276" w:lineRule="auto"/>
        <w:ind w:right="20"/>
        <w:jc w:val="both"/>
        <w:rPr>
          <w:rFonts w:eastAsia="Calibri"/>
        </w:rPr>
      </w:pPr>
      <w:r w:rsidRPr="00CA626C">
        <w:rPr>
          <w:rFonts w:eastAsia="Calibri"/>
          <w:color w:val="000000"/>
          <w:shd w:val="clear" w:color="auto" w:fill="FFFFFF"/>
        </w:rPr>
        <w:t>Изпълнителят е длъжен да осигурява винаги достъп до строителната площадка на упълномощени представители на Възложителя.</w:t>
      </w:r>
    </w:p>
    <w:p w:rsidR="000B43D7" w:rsidRPr="00CA626C" w:rsidRDefault="000B43D7" w:rsidP="000E65C3">
      <w:pPr>
        <w:widowControl w:val="0"/>
        <w:spacing w:after="64" w:line="276" w:lineRule="auto"/>
        <w:ind w:right="20"/>
        <w:jc w:val="both"/>
        <w:rPr>
          <w:rFonts w:eastAsia="Calibri"/>
        </w:rPr>
      </w:pPr>
      <w:r w:rsidRPr="00CA626C">
        <w:rPr>
          <w:rFonts w:eastAsia="Calibri"/>
          <w:color w:val="000000"/>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Изисквания за сигурност</w:t>
      </w:r>
    </w:p>
    <w:p w:rsidR="000B43D7" w:rsidRPr="00CA626C" w:rsidRDefault="000B43D7" w:rsidP="000E65C3">
      <w:pPr>
        <w:spacing w:line="276" w:lineRule="auto"/>
        <w:jc w:val="both"/>
        <w:rPr>
          <w:rFonts w:eastAsia="Calibri"/>
        </w:rPr>
      </w:pPr>
      <w:r w:rsidRPr="00CA626C">
        <w:rPr>
          <w:rFonts w:eastAsia="Calibri"/>
        </w:rPr>
        <w:t>От самото начало и до завършването на работата по проекта, Изпълнителят ще носи отговорност за защита от вандализъм, кражба или злонамерени действия на цялата си работа, материали и оборудване.</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Защита на собствеността</w:t>
      </w:r>
    </w:p>
    <w:p w:rsidR="000B43D7" w:rsidRPr="00CA626C" w:rsidRDefault="000B43D7" w:rsidP="000E65C3">
      <w:pPr>
        <w:spacing w:line="276" w:lineRule="auto"/>
        <w:jc w:val="both"/>
        <w:rPr>
          <w:rFonts w:eastAsia="Calibri"/>
        </w:rPr>
      </w:pPr>
      <w:r w:rsidRPr="00CA626C">
        <w:rPr>
          <w:rFonts w:eastAsia="Calibri"/>
        </w:rPr>
        <w:t>Изпълнителят ще отговаря за опазването и охраната на собствеността на възложителя, която се намира на или е в близост до работната площадка, срещу щети или вреди вследствие на работата му по изпълнение на поръчката.</w:t>
      </w:r>
      <w:r>
        <w:rPr>
          <w:rFonts w:eastAsia="Calibri"/>
        </w:rPr>
        <w:t xml:space="preserve"> </w:t>
      </w:r>
      <w:r w:rsidRPr="00CA626C">
        <w:rPr>
          <w:rFonts w:eastAsia="Calibri"/>
        </w:rPr>
        <w:t>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Противопожарна защита</w:t>
      </w:r>
    </w:p>
    <w:p w:rsidR="000B43D7" w:rsidRPr="00CA626C" w:rsidRDefault="000B43D7" w:rsidP="000E65C3">
      <w:pPr>
        <w:spacing w:line="276" w:lineRule="auto"/>
        <w:jc w:val="both"/>
        <w:rPr>
          <w:rFonts w:eastAsia="Calibri"/>
        </w:rPr>
      </w:pPr>
      <w:r w:rsidRPr="00CA626C">
        <w:rPr>
          <w:rFonts w:eastAsia="Calibri"/>
        </w:rPr>
        <w:t>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 Изпълнителят трябва да осигури достатъчно оборудване за потушаване на евентуален пожар.</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lastRenderedPageBreak/>
        <w:t>Почистване</w:t>
      </w:r>
    </w:p>
    <w:p w:rsidR="000B43D7" w:rsidRPr="00CA626C" w:rsidRDefault="000B43D7" w:rsidP="000E65C3">
      <w:pPr>
        <w:spacing w:line="276" w:lineRule="auto"/>
        <w:jc w:val="both"/>
        <w:rPr>
          <w:rFonts w:eastAsia="Calibri"/>
        </w:rPr>
      </w:pPr>
      <w:r w:rsidRPr="00CA626C">
        <w:rPr>
          <w:rFonts w:eastAsia="Calibri"/>
        </w:rPr>
        <w:t xml:space="preserve">Изпълнителят трябва да отстранява и премахва от района на площадките всички отломки и отпадъци, ако те пречат на друго обслужване или представляват опасност за възникване на пожар или инцидент. 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w:t>
      </w:r>
      <w:r>
        <w:rPr>
          <w:rFonts w:eastAsia="Calibri"/>
        </w:rPr>
        <w:t>пътищата, както и да не възпрепятстват движението</w:t>
      </w:r>
      <w:r w:rsidRPr="00CA626C">
        <w:rPr>
          <w:rFonts w:eastAsia="Calibri"/>
        </w:rPr>
        <w:t xml:space="preserve">. </w:t>
      </w:r>
    </w:p>
    <w:p w:rsidR="000B43D7" w:rsidRPr="00CA626C" w:rsidRDefault="000B43D7" w:rsidP="000E65C3">
      <w:pPr>
        <w:spacing w:line="276" w:lineRule="auto"/>
        <w:jc w:val="both"/>
        <w:rPr>
          <w:rFonts w:eastAsia="Calibri"/>
        </w:rPr>
      </w:pPr>
      <w:r w:rsidRPr="00CA626C">
        <w:rPr>
          <w:rFonts w:eastAsia="Calibri"/>
        </w:rPr>
        <w:t>След завършване и изпитване на строителните и монтажни работи, Изпълнителят трябва да отстрани от работните площадки всички отпадъци и излишна почва, а също така и временните строителни знаци, инструменти, материали, строителна механизация или оборудване, които той или всеки негов подизпълнител е използвал при извършването на работите. Изпълнителят трябва да почисти и да остави Площадката в чисто състояние.</w:t>
      </w:r>
      <w:r>
        <w:rPr>
          <w:rFonts w:eastAsia="Calibri"/>
        </w:rPr>
        <w:t xml:space="preserve"> </w:t>
      </w:r>
      <w:r w:rsidRPr="00CA626C">
        <w:rPr>
          <w:rFonts w:eastAsia="Calibri"/>
        </w:rPr>
        <w:t>Окончателното почистване на работния район трябва да приключи в рамките до седем (7) дни от възстановяването на настилките.</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Временно водоснабдяване, ел. захранване и санитарни възли</w:t>
      </w:r>
    </w:p>
    <w:p w:rsidR="000B43D7" w:rsidRPr="00CA626C" w:rsidRDefault="000B43D7" w:rsidP="000E65C3">
      <w:pPr>
        <w:spacing w:line="276" w:lineRule="auto"/>
        <w:jc w:val="both"/>
        <w:rPr>
          <w:rFonts w:eastAsia="Calibri"/>
        </w:rPr>
      </w:pPr>
      <w:r w:rsidRPr="00CA626C">
        <w:rPr>
          <w:rFonts w:eastAsia="Calibri"/>
        </w:rPr>
        <w:t>Всички временни съоръжения трябва да се предоставят от Изпълнителя. 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норми и правилници. При приключване на работата или когато временните съоръжения не са нужни повече, то те трябва да бъдат преместени и площадката трябва да се възстанови в първоначалното си състояние. Всички разходи във връзка с временните съоръжения, включително поддръжка, преместване и изнасяне, трябва да се поемат от Изпълнителя.</w:t>
      </w:r>
    </w:p>
    <w:p w:rsidR="000B43D7" w:rsidRPr="00CA626C" w:rsidRDefault="000B43D7" w:rsidP="000E65C3">
      <w:pPr>
        <w:spacing w:line="276" w:lineRule="auto"/>
        <w:jc w:val="both"/>
        <w:rPr>
          <w:rFonts w:eastAsia="Calibri"/>
        </w:rPr>
      </w:pPr>
      <w:r w:rsidRPr="00CA626C">
        <w:rPr>
          <w:rFonts w:eastAsia="Calibri"/>
        </w:rPr>
        <w:t>Изпълнителят трябва да предостави и поеме всички разходи за вода за нуждите на строителството, санитарните възли, полеви офиси. За своя сметка Изпълнителят трябва да предостави, монтира, оперира и поддържа цялата система, нужна за временно ел.</w:t>
      </w:r>
      <w:r w:rsidR="00CB2A57">
        <w:rPr>
          <w:rFonts w:eastAsia="Calibri"/>
        </w:rPr>
        <w:t xml:space="preserve"> </w:t>
      </w:r>
      <w:r w:rsidRPr="00CA626C">
        <w:rPr>
          <w:rFonts w:eastAsia="Calibri"/>
        </w:rPr>
        <w:t>захранване за строителни цели, полевите офиси и извършване на проби. Изпълнителят трябва да предприеме всички необходими мерки за предоставяне на временно ел.</w:t>
      </w:r>
      <w:r w:rsidR="00CB2A57">
        <w:rPr>
          <w:rFonts w:eastAsia="Calibri"/>
        </w:rPr>
        <w:t xml:space="preserve"> </w:t>
      </w:r>
      <w:r w:rsidRPr="00CA626C">
        <w:rPr>
          <w:rFonts w:eastAsia="Calibri"/>
        </w:rPr>
        <w:t>захранване от местната електрическа компания</w:t>
      </w:r>
      <w:r>
        <w:rPr>
          <w:rFonts w:eastAsia="Calibri"/>
        </w:rPr>
        <w:t xml:space="preserve"> (в случай на необходимост)</w:t>
      </w:r>
      <w:r w:rsidRPr="00CA626C">
        <w:rPr>
          <w:rFonts w:eastAsia="Calibri"/>
        </w:rPr>
        <w:t>. Изпълнителят ще плати всички такси за включване на електрическата компания, и ще предостави работната ръка, материали и оборудване за монтирането на временното ел.</w:t>
      </w:r>
      <w:r w:rsidR="00CB2A57">
        <w:rPr>
          <w:rFonts w:eastAsia="Calibri"/>
        </w:rPr>
        <w:t xml:space="preserve"> </w:t>
      </w:r>
      <w:r w:rsidRPr="00CA626C">
        <w:rPr>
          <w:rFonts w:eastAsia="Calibri"/>
        </w:rPr>
        <w:t>захранване. При приключване на работата, Изпълнителят, координирано с ел.</w:t>
      </w:r>
      <w:r w:rsidR="00CB2A57">
        <w:rPr>
          <w:rFonts w:eastAsia="Calibri"/>
        </w:rPr>
        <w:t xml:space="preserve"> </w:t>
      </w:r>
      <w:r w:rsidRPr="00CA626C">
        <w:rPr>
          <w:rFonts w:eastAsia="Calibri"/>
        </w:rPr>
        <w:t xml:space="preserve">компанията,  ще изключи и премести системата за временно ел. захранване. </w:t>
      </w:r>
    </w:p>
    <w:p w:rsidR="000B43D7" w:rsidRPr="00CA626C" w:rsidRDefault="000B43D7" w:rsidP="000E65C3">
      <w:pPr>
        <w:spacing w:line="276" w:lineRule="auto"/>
        <w:ind w:right="-7" w:firstLine="600"/>
        <w:jc w:val="both"/>
        <w:rPr>
          <w:b/>
          <w:u w:val="single"/>
        </w:rPr>
      </w:pPr>
    </w:p>
    <w:p w:rsidR="000B43D7" w:rsidRPr="00CA626C" w:rsidRDefault="000B43D7" w:rsidP="000E65C3">
      <w:pPr>
        <w:numPr>
          <w:ilvl w:val="0"/>
          <w:numId w:val="2"/>
        </w:numPr>
        <w:tabs>
          <w:tab w:val="left" w:pos="540"/>
        </w:tabs>
        <w:spacing w:line="276" w:lineRule="auto"/>
        <w:ind w:right="-7"/>
        <w:jc w:val="both"/>
        <w:rPr>
          <w:b/>
        </w:rPr>
      </w:pPr>
      <w:r w:rsidRPr="00CA626C">
        <w:rPr>
          <w:b/>
        </w:rPr>
        <w:t>Организация на строителството:</w:t>
      </w:r>
    </w:p>
    <w:p w:rsidR="000B43D7" w:rsidRPr="00CA626C" w:rsidRDefault="000B43D7" w:rsidP="000E65C3">
      <w:pPr>
        <w:tabs>
          <w:tab w:val="left" w:pos="540"/>
          <w:tab w:val="left" w:pos="720"/>
        </w:tabs>
        <w:spacing w:line="276" w:lineRule="auto"/>
        <w:ind w:right="-7"/>
        <w:jc w:val="both"/>
      </w:pPr>
    </w:p>
    <w:p w:rsidR="000B43D7" w:rsidRPr="00CA626C" w:rsidRDefault="000B43D7" w:rsidP="000E65C3">
      <w:pPr>
        <w:tabs>
          <w:tab w:val="left" w:pos="540"/>
          <w:tab w:val="left" w:pos="720"/>
        </w:tabs>
        <w:spacing w:line="276" w:lineRule="auto"/>
        <w:ind w:right="-7"/>
        <w:jc w:val="both"/>
      </w:pPr>
      <w:r w:rsidRPr="00CA626C">
        <w:t>Участникът трябва да вземе предвид характерните</w:t>
      </w:r>
      <w:r w:rsidRPr="00CA626C">
        <w:rPr>
          <w:color w:val="FF0000"/>
        </w:rPr>
        <w:t xml:space="preserve"> </w:t>
      </w:r>
      <w:r w:rsidRPr="00CA626C">
        <w:t>климатични условия и изискванията за подготовка на необходимата техническа документация преди изпълнението на строителните работи (Наредба № 3 от 31.07.2003 год. за съставяне на актове и протоколи по време на строителството).</w:t>
      </w:r>
    </w:p>
    <w:p w:rsidR="000B43D7" w:rsidRPr="00CA626C" w:rsidRDefault="000B43D7" w:rsidP="000E65C3">
      <w:pPr>
        <w:tabs>
          <w:tab w:val="left" w:pos="720"/>
        </w:tabs>
        <w:spacing w:line="276" w:lineRule="auto"/>
        <w:ind w:right="-7"/>
        <w:jc w:val="both"/>
        <w:rPr>
          <w:lang w:eastAsia="en-US"/>
        </w:rPr>
      </w:pPr>
      <w:r w:rsidRPr="00CA626C">
        <w:rPr>
          <w:lang w:eastAsia="en-US"/>
        </w:rPr>
        <w:t xml:space="preserve">Временна организация на движението: преди започване изграждането на обекта изпълнителят да изготви проект за временна организация на движението при извършване на строителство и ремонт по пътищата и улиците, съгласно </w:t>
      </w:r>
      <w:r w:rsidRPr="00CA626C">
        <w:rPr>
          <w:bCs/>
          <w:lang w:eastAsia="en-US"/>
        </w:rPr>
        <w:t xml:space="preserve">Наредба № 3 от 16 август </w:t>
      </w:r>
      <w:smartTag w:uri="urn:schemas-microsoft-com:office:smarttags" w:element="metricconverter">
        <w:smartTagPr>
          <w:attr w:name="ProductID" w:val="2010 г"/>
        </w:smartTagPr>
        <w:r w:rsidRPr="00CA626C">
          <w:rPr>
            <w:bCs/>
            <w:lang w:eastAsia="en-US"/>
          </w:rPr>
          <w:t>2010 г</w:t>
        </w:r>
      </w:smartTag>
      <w:r w:rsidRPr="00CA626C">
        <w:rPr>
          <w:bCs/>
          <w:lang w:eastAsia="en-US"/>
        </w:rPr>
        <w:t xml:space="preserve">. за временната организация и безопасността на движението при извършване на строителни и монтажни работи по пътищата и улиците (ДВ, бр. 74 от </w:t>
      </w:r>
      <w:smartTag w:uri="urn:schemas-microsoft-com:office:smarttags" w:element="metricconverter">
        <w:smartTagPr>
          <w:attr w:name="ProductID" w:val="2010 г"/>
        </w:smartTagPr>
        <w:r w:rsidRPr="00CA626C">
          <w:rPr>
            <w:bCs/>
            <w:lang w:eastAsia="en-US"/>
          </w:rPr>
          <w:lastRenderedPageBreak/>
          <w:t>2010 г</w:t>
        </w:r>
      </w:smartTag>
      <w:r w:rsidRPr="00CA626C">
        <w:rPr>
          <w:bCs/>
          <w:lang w:eastAsia="en-US"/>
        </w:rPr>
        <w:t>.),</w:t>
      </w:r>
      <w:r w:rsidRPr="00CA626C">
        <w:rPr>
          <w:b/>
          <w:bCs/>
          <w:lang w:eastAsia="en-US"/>
        </w:rPr>
        <w:t xml:space="preserve"> </w:t>
      </w:r>
      <w:r w:rsidRPr="00CA626C">
        <w:rPr>
          <w:lang w:eastAsia="en-US"/>
        </w:rPr>
        <w:t xml:space="preserve">съгласуван от представители на РПУ Пътна полиция – </w:t>
      </w:r>
      <w:r w:rsidR="000E65C3">
        <w:rPr>
          <w:lang w:eastAsia="en-US"/>
        </w:rPr>
        <w:t>Панагюрище</w:t>
      </w:r>
      <w:r w:rsidRPr="00CA626C">
        <w:rPr>
          <w:lang w:eastAsia="en-US"/>
        </w:rPr>
        <w:t xml:space="preserve"> и община </w:t>
      </w:r>
      <w:r w:rsidR="000E65C3">
        <w:rPr>
          <w:lang w:eastAsia="en-US"/>
        </w:rPr>
        <w:t>Панагюрище</w:t>
      </w:r>
      <w:r w:rsidRPr="00CA626C">
        <w:rPr>
          <w:lang w:eastAsia="en-US"/>
        </w:rPr>
        <w:t>.</w:t>
      </w:r>
    </w:p>
    <w:p w:rsidR="000B43D7" w:rsidRPr="00CA626C" w:rsidRDefault="000B43D7" w:rsidP="000E65C3">
      <w:pPr>
        <w:tabs>
          <w:tab w:val="left" w:pos="720"/>
        </w:tabs>
        <w:spacing w:line="276" w:lineRule="auto"/>
        <w:ind w:right="-7" w:firstLine="600"/>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 xml:space="preserve">Изисквания на Възложителя към обхвата и съдържанието на Техническото предложение </w:t>
      </w:r>
    </w:p>
    <w:p w:rsidR="000B43D7" w:rsidRPr="00CA626C" w:rsidRDefault="000E65C3" w:rsidP="00CB2A57">
      <w:pPr>
        <w:tabs>
          <w:tab w:val="left" w:pos="720"/>
        </w:tabs>
        <w:spacing w:line="276" w:lineRule="auto"/>
        <w:ind w:right="-7"/>
        <w:jc w:val="both"/>
      </w:pPr>
      <w:r>
        <w:tab/>
        <w:t xml:space="preserve">Към Офертата, участниците следва да представят своето </w:t>
      </w:r>
      <w:r w:rsidR="000B43D7" w:rsidRPr="00CA626C">
        <w:t>Техническото предложение</w:t>
      </w:r>
      <w:r>
        <w:t>, съдържащо минимум:</w:t>
      </w:r>
      <w:r w:rsidR="000B43D7" w:rsidRPr="00CA626C">
        <w:t xml:space="preserve"> </w:t>
      </w:r>
    </w:p>
    <w:p w:rsidR="000E65C3" w:rsidRPr="000E65C3" w:rsidRDefault="000E65C3" w:rsidP="00CB2A57">
      <w:pPr>
        <w:widowControl w:val="0"/>
        <w:spacing w:before="240" w:line="276" w:lineRule="auto"/>
        <w:ind w:firstLine="708"/>
        <w:contextualSpacing/>
        <w:jc w:val="both"/>
        <w:rPr>
          <w:lang w:eastAsia="en-US"/>
        </w:rPr>
      </w:pPr>
      <w:r w:rsidRPr="000E65C3">
        <w:rPr>
          <w:b/>
          <w:bCs/>
          <w:lang w:eastAsia="en-US"/>
        </w:rPr>
        <w:t>Работна програма</w:t>
      </w:r>
      <w:r w:rsidRPr="000E65C3">
        <w:rPr>
          <w:bCs/>
          <w:lang w:eastAsia="en-US"/>
        </w:rPr>
        <w:t>. В</w:t>
      </w:r>
      <w:r w:rsidRPr="000E65C3">
        <w:rPr>
          <w:lang w:eastAsia="en-US"/>
        </w:rPr>
        <w:t xml:space="preserve"> тази част от офертата всеки участник следва да представи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подготвителните дейности (мобилизация, откриване на строителна площадка), дейностите по изпълнението на строително-монтажните работи, тестванията, въвеждането на обекта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0E65C3" w:rsidRPr="000E65C3" w:rsidRDefault="000E65C3" w:rsidP="00CB2A57">
      <w:pPr>
        <w:spacing w:before="120" w:line="276" w:lineRule="auto"/>
        <w:ind w:firstLine="709"/>
        <w:jc w:val="both"/>
        <w:rPr>
          <w:rFonts w:eastAsia="Calibri"/>
          <w:lang w:eastAsia="en-US"/>
        </w:rPr>
      </w:pPr>
      <w:r w:rsidRPr="000E65C3">
        <w:rPr>
          <w:lang w:eastAsia="en-US"/>
        </w:rPr>
        <w:t xml:space="preserve">Подхода описан от участниците, отнасящ се до основните етапи </w:t>
      </w:r>
      <w:r w:rsidRPr="000E65C3">
        <w:rPr>
          <w:rFonts w:eastAsia="Calibri"/>
          <w:lang w:eastAsia="en-US"/>
        </w:rPr>
        <w:t xml:space="preserve">на изпълнение трябва да бъде ясен, разбираемо представен и отнасящ се до предмета на поръчката. Освен това следва да се представят предвижданите организация и мобилизация на използваните от участника ресурси (техника и човешки ресурси), обвързани с конкретния подход за изпълнение на предмета на поръчката. Следва да се представи </w:t>
      </w:r>
      <w:r w:rsidRPr="000E65C3">
        <w:rPr>
          <w:lang w:val="en-GB"/>
        </w:rPr>
        <w:t>организация на работата на инженерно-техническия (ръководен) състав и на изпълнителския/ките</w:t>
      </w:r>
      <w:r w:rsidRPr="000E65C3">
        <w:t xml:space="preserve"> </w:t>
      </w:r>
      <w:r w:rsidRPr="000E65C3">
        <w:rPr>
          <w:lang w:val="en-GB"/>
        </w:rPr>
        <w:t xml:space="preserve">екип/и, </w:t>
      </w:r>
      <w:r w:rsidRPr="000E65C3">
        <w:t xml:space="preserve">да </w:t>
      </w:r>
      <w:r w:rsidRPr="000E65C3">
        <w:rPr>
          <w:lang w:val="en-GB"/>
        </w:rPr>
        <w:t>посочи начините за осъществяване на координация и за съгласуване</w:t>
      </w:r>
      <w:r w:rsidRPr="000E65C3">
        <w:t xml:space="preserve"> </w:t>
      </w:r>
      <w:r w:rsidRPr="000E65C3">
        <w:rPr>
          <w:lang w:val="en-GB"/>
        </w:rPr>
        <w:t>на дейностите по между им и други организационни аспекти, които са</w:t>
      </w:r>
      <w:r w:rsidRPr="000E65C3">
        <w:t xml:space="preserve"> </w:t>
      </w:r>
      <w:r w:rsidRPr="000E65C3">
        <w:rPr>
          <w:lang w:val="en-GB"/>
        </w:rPr>
        <w:t>необходими за качественото и срочно изпълнение на съответно възложеното</w:t>
      </w:r>
      <w:r w:rsidRPr="000E65C3">
        <w:t xml:space="preserve"> </w:t>
      </w:r>
      <w:r w:rsidRPr="000E65C3">
        <w:rPr>
          <w:lang w:val="en-GB"/>
        </w:rPr>
        <w:t>строителство.</w:t>
      </w:r>
    </w:p>
    <w:p w:rsidR="000E65C3" w:rsidRPr="000E65C3" w:rsidRDefault="000E65C3" w:rsidP="00CB2A57">
      <w:pPr>
        <w:spacing w:line="276" w:lineRule="auto"/>
        <w:ind w:firstLine="709"/>
        <w:jc w:val="both"/>
        <w:rPr>
          <w:rFonts w:eastAsia="Calibri"/>
          <w:lang w:eastAsia="en-US"/>
        </w:rPr>
      </w:pPr>
      <w:r w:rsidRPr="000E65C3">
        <w:rPr>
          <w:rFonts w:eastAsia="Calibri"/>
          <w:lang w:eastAsia="en-US"/>
        </w:rPr>
        <w:t>Участниците следва да представят мерките, които ще предприемат за осигуряване на качество по време на изпълнението на договора за строителство, както и контрола на качество, който ще се упражнява по време на изпълнението на договора. </w:t>
      </w:r>
    </w:p>
    <w:p w:rsidR="000E65C3" w:rsidRPr="000E65C3" w:rsidRDefault="000E65C3" w:rsidP="00CB2A57">
      <w:pPr>
        <w:spacing w:line="276" w:lineRule="auto"/>
        <w:ind w:firstLine="709"/>
        <w:jc w:val="both"/>
        <w:rPr>
          <w:rFonts w:eastAsia="Calibri"/>
          <w:lang w:eastAsia="en-US"/>
        </w:rPr>
      </w:pPr>
      <w:r w:rsidRPr="000E65C3">
        <w:rPr>
          <w:rFonts w:eastAsia="Calibri"/>
          <w:lang w:eastAsia="en-US"/>
        </w:rPr>
        <w:t>Участниците следва да представят мерките, които ще предприемат за опазване на околната среда.</w:t>
      </w:r>
    </w:p>
    <w:p w:rsidR="000E65C3" w:rsidRPr="00CA626C" w:rsidRDefault="000E65C3" w:rsidP="00CB2A57">
      <w:pPr>
        <w:tabs>
          <w:tab w:val="left" w:pos="720"/>
        </w:tabs>
        <w:spacing w:line="276" w:lineRule="auto"/>
        <w:ind w:right="-7"/>
        <w:jc w:val="both"/>
        <w:rPr>
          <w:b/>
        </w:rPr>
      </w:pPr>
      <w:r w:rsidRPr="000E65C3">
        <w:rPr>
          <w:rFonts w:eastAsia="Calibri"/>
          <w:b/>
          <w:lang w:eastAsia="en-US"/>
        </w:rPr>
        <w:tab/>
      </w:r>
      <w:r>
        <w:rPr>
          <w:rFonts w:eastAsia="Calibri"/>
          <w:b/>
          <w:lang w:eastAsia="en-US"/>
        </w:rPr>
        <w:t>*</w:t>
      </w:r>
      <w:r w:rsidRPr="00CA626C">
        <w:rPr>
          <w:b/>
        </w:rPr>
        <w:t>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0E65C3" w:rsidRDefault="000E65C3" w:rsidP="00CB2A57">
      <w:pPr>
        <w:widowControl w:val="0"/>
        <w:tabs>
          <w:tab w:val="left" w:pos="0"/>
        </w:tabs>
        <w:autoSpaceDE w:val="0"/>
        <w:autoSpaceDN w:val="0"/>
        <w:adjustRightInd w:val="0"/>
        <w:spacing w:line="276" w:lineRule="auto"/>
        <w:contextualSpacing/>
        <w:jc w:val="both"/>
        <w:rPr>
          <w:rFonts w:eastAsia="Calibri"/>
          <w:b/>
          <w:lang w:eastAsia="en-US"/>
        </w:rPr>
      </w:pPr>
    </w:p>
    <w:p w:rsidR="000E65C3" w:rsidRPr="000E65C3" w:rsidRDefault="000E65C3" w:rsidP="00CB2A57">
      <w:pPr>
        <w:widowControl w:val="0"/>
        <w:tabs>
          <w:tab w:val="left" w:pos="0"/>
        </w:tabs>
        <w:autoSpaceDE w:val="0"/>
        <w:autoSpaceDN w:val="0"/>
        <w:adjustRightInd w:val="0"/>
        <w:spacing w:line="276" w:lineRule="auto"/>
        <w:contextualSpacing/>
        <w:jc w:val="both"/>
        <w:rPr>
          <w:rFonts w:eastAsia="Calibri"/>
          <w:b/>
          <w:lang w:eastAsia="en-US"/>
        </w:rPr>
      </w:pPr>
      <w:r>
        <w:rPr>
          <w:rFonts w:eastAsia="Calibri"/>
          <w:b/>
          <w:lang w:eastAsia="en-US"/>
        </w:rPr>
        <w:tab/>
      </w:r>
      <w:r w:rsidRPr="000E65C3">
        <w:rPr>
          <w:rFonts w:eastAsia="Calibri"/>
          <w:b/>
          <w:lang w:eastAsia="en-US"/>
        </w:rPr>
        <w:t>Линеен календарен график</w:t>
      </w:r>
      <w:r w:rsidRPr="000E65C3">
        <w:rPr>
          <w:rFonts w:eastAsia="Calibri"/>
          <w:lang w:eastAsia="en-US"/>
        </w:rPr>
        <w:t xml:space="preserve"> за видове работи – по етапност на изпълнението и разпределение на работната сила. Предложения линеен график следва да е в пълно съответствие с предложената Работната програма за изпълнение на СМР. В линейния график да се отразят дните за започване на строителството - откриване на строителната площадка със съставяне на протокол обр. 2, за изпълнение на всички СМР, за </w:t>
      </w:r>
      <w:r w:rsidRPr="000E65C3">
        <w:rPr>
          <w:rFonts w:eastAsia="Calibri"/>
          <w:lang w:eastAsia="en-US"/>
        </w:rPr>
        <w:lastRenderedPageBreak/>
        <w:t xml:space="preserve">завършване на строителството със съставяне на констативен акт обр. 15, дните за неблагоприятни климатични условия при изпълнение на СМР. Към линейният график да бъде приложена и </w:t>
      </w:r>
      <w:r w:rsidRPr="000E65C3">
        <w:rPr>
          <w:rFonts w:eastAsia="Calibri"/>
          <w:b/>
          <w:lang w:eastAsia="en-US"/>
        </w:rPr>
        <w:t xml:space="preserve">диаграма на работната ръка. </w:t>
      </w:r>
    </w:p>
    <w:p w:rsidR="000E65C3" w:rsidRPr="000E65C3" w:rsidRDefault="000E65C3" w:rsidP="00CB2A57">
      <w:pPr>
        <w:widowControl w:val="0"/>
        <w:tabs>
          <w:tab w:val="left" w:pos="-142"/>
          <w:tab w:val="left" w:pos="993"/>
        </w:tabs>
        <w:autoSpaceDE w:val="0"/>
        <w:autoSpaceDN w:val="0"/>
        <w:adjustRightInd w:val="0"/>
        <w:spacing w:line="276" w:lineRule="auto"/>
        <w:jc w:val="both"/>
        <w:rPr>
          <w:rFonts w:eastAsia="Calibri"/>
          <w:b/>
          <w:lang w:eastAsia="en-US"/>
        </w:rPr>
      </w:pPr>
      <w:r w:rsidRPr="000E65C3">
        <w:rPr>
          <w:rFonts w:eastAsia="Calibri"/>
          <w:b/>
          <w:lang w:eastAsia="en-US"/>
        </w:rPr>
        <w:tab/>
        <w:t>*Участник, чиито линеен график е не 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несъответствие със строителната програма или е налице противоречие с действащата нормативна уредба се отстранява.</w:t>
      </w:r>
    </w:p>
    <w:p w:rsidR="000B43D7" w:rsidRPr="00CA626C" w:rsidRDefault="000B43D7" w:rsidP="000B43D7">
      <w:pPr>
        <w:tabs>
          <w:tab w:val="left" w:pos="720"/>
        </w:tabs>
        <w:ind w:right="-7"/>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Гаранционни срокове за строителните дейности.</w:t>
      </w:r>
    </w:p>
    <w:p w:rsidR="000B43D7" w:rsidRPr="00CA626C" w:rsidRDefault="000B43D7" w:rsidP="000E65C3">
      <w:pPr>
        <w:tabs>
          <w:tab w:val="left" w:pos="720"/>
        </w:tabs>
        <w:spacing w:line="276" w:lineRule="auto"/>
        <w:ind w:right="-7" w:firstLine="600"/>
        <w:jc w:val="both"/>
      </w:pPr>
      <w:r w:rsidRPr="00CA626C">
        <w:t>Предложените гаранционни срокове от участниците не могат да бъдат по-малки от предвидените в чл.20, ал.4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B43D7" w:rsidRPr="00CA626C" w:rsidRDefault="000B43D7" w:rsidP="000E65C3">
      <w:pPr>
        <w:tabs>
          <w:tab w:val="left" w:pos="720"/>
        </w:tabs>
        <w:spacing w:line="276" w:lineRule="auto"/>
        <w:ind w:right="-7" w:firstLine="600"/>
        <w:jc w:val="both"/>
      </w:pPr>
      <w:r w:rsidRPr="00CA626C">
        <w:t>Участникът, който е предложил гаранционен срок по – малък от предвидените в чл.20, ал.4 от Наредба № 2 от 31.07.2003 г. се предлага за отстраняване. Участниците могат да предложат гаранционни срокове по – дълги от предвидените в горепосочената наредба, който да бъдат не повече от 2 /два/ пъти минималният гаранционен срок, предвиден в чл.20, ал.4 от Наредба № 2 от 31.07.2003 г.</w:t>
      </w:r>
    </w:p>
    <w:p w:rsidR="000B43D7" w:rsidRPr="00CB2A57" w:rsidRDefault="000B43D7" w:rsidP="000E65C3">
      <w:pPr>
        <w:tabs>
          <w:tab w:val="left" w:pos="720"/>
        </w:tabs>
        <w:spacing w:line="276" w:lineRule="auto"/>
        <w:ind w:right="-7" w:firstLine="600"/>
        <w:jc w:val="both"/>
        <w:rPr>
          <w:b/>
        </w:rPr>
      </w:pPr>
      <w:r w:rsidRPr="00CB2A57">
        <w:rPr>
          <w:b/>
        </w:rPr>
        <w:t>*В случай, че се констатира предложен под установения минимум или над максимум предложен срок по тези показатели, офертата на участника се предлага за отстраняване.</w:t>
      </w:r>
    </w:p>
    <w:p w:rsidR="000B43D7" w:rsidRPr="00CA626C" w:rsidRDefault="000B43D7" w:rsidP="000E65C3">
      <w:pPr>
        <w:tabs>
          <w:tab w:val="left" w:pos="720"/>
        </w:tabs>
        <w:spacing w:line="276" w:lineRule="auto"/>
        <w:ind w:right="-7" w:firstLine="600"/>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 xml:space="preserve">Основни нормативни документи </w:t>
      </w:r>
    </w:p>
    <w:p w:rsidR="000B43D7" w:rsidRPr="00CA626C" w:rsidRDefault="000B43D7" w:rsidP="000E65C3">
      <w:pPr>
        <w:tabs>
          <w:tab w:val="left" w:pos="720"/>
        </w:tabs>
        <w:spacing w:line="276" w:lineRule="auto"/>
        <w:ind w:right="-7" w:firstLine="600"/>
        <w:jc w:val="both"/>
      </w:pPr>
      <w:r w:rsidRPr="00CA626C">
        <w:t xml:space="preserve">При изпълнението на строителството следва да бъдат спазени разпоредбите на посочените по-долу нормативни актове и други нормативни и подзаконови нормативни актове, отразяващи добрите практики в строителството на сходни обекти: </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устройство на територията; </w:t>
      </w:r>
    </w:p>
    <w:p w:rsidR="000B43D7" w:rsidRPr="00CA626C" w:rsidRDefault="000B43D7" w:rsidP="000E65C3">
      <w:pPr>
        <w:tabs>
          <w:tab w:val="left" w:pos="720"/>
        </w:tabs>
        <w:spacing w:line="276" w:lineRule="auto"/>
        <w:ind w:right="-7" w:firstLine="600"/>
        <w:jc w:val="both"/>
      </w:pPr>
      <w:r w:rsidRPr="00CA626C">
        <w:t></w:t>
      </w:r>
      <w:r w:rsidRPr="00CA626C">
        <w:tab/>
        <w:t>Закон за пътищата</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движението по пътищата; </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техническите изисквания към продуктите; </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здравословни и безопасни условия на труд;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 1 за организиране на движението по пътищата;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 3 за временната организация на движението при извършване на строителство и ремонт по пътищата и улиците;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 2 за минималните изисквания за здравословни и безопасни условия на труд при извършване на СМР;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за съществените изисквания и оценяване на съответствието на строителните продукти; </w:t>
      </w:r>
    </w:p>
    <w:p w:rsidR="000B43D7" w:rsidRPr="00CA626C" w:rsidRDefault="000B43D7" w:rsidP="000E65C3">
      <w:pPr>
        <w:tabs>
          <w:tab w:val="left" w:pos="720"/>
        </w:tabs>
        <w:spacing w:line="276" w:lineRule="auto"/>
        <w:ind w:right="-7" w:firstLine="600"/>
        <w:jc w:val="both"/>
      </w:pPr>
      <w:r w:rsidRPr="00CA626C">
        <w:t></w:t>
      </w:r>
      <w:r w:rsidRPr="00CA626C">
        <w:tab/>
        <w:t>Техническа спецификация на АПИ в последния й актуализиран вид към момента на подаването на офертата, както и всички други действащи закони, наредби, правилници, стандарти, инструкции, ръководства и технически разпореждания в областта на ремонт на улици в градска среда,.</w:t>
      </w:r>
    </w:p>
    <w:p w:rsidR="000B43D7" w:rsidRPr="00CA626C" w:rsidRDefault="000B43D7" w:rsidP="000E65C3">
      <w:pPr>
        <w:tabs>
          <w:tab w:val="left" w:pos="720"/>
        </w:tabs>
        <w:spacing w:line="276" w:lineRule="auto"/>
        <w:ind w:right="-7" w:firstLine="600"/>
        <w:jc w:val="both"/>
      </w:pPr>
      <w:r w:rsidRPr="00CA626C">
        <w:lastRenderedPageBreak/>
        <w:t></w:t>
      </w:r>
      <w:r w:rsidRPr="00CA626C">
        <w:tab/>
        <w:t xml:space="preserve">При изготвяне на Плана за опазване на околната среда по време на строителство и осъществяване на самото строителство трябва да се съблюдават изискванията на следните нормативни документи: </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опазване на околната среда;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за условията и реда за извършване на оценка на въздействието върху околната среда;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за условията и реда за извършване на оценка на съответствието на планове, програми, проекти и инвестиционни предложения с предмета и целите на опазване на защитените зони. </w:t>
      </w:r>
    </w:p>
    <w:p w:rsidR="000B43D7" w:rsidRPr="00CA626C" w:rsidRDefault="000B43D7" w:rsidP="000E65C3">
      <w:pPr>
        <w:tabs>
          <w:tab w:val="left" w:pos="720"/>
        </w:tabs>
        <w:spacing w:line="276" w:lineRule="auto"/>
        <w:ind w:right="-7" w:firstLine="600"/>
        <w:jc w:val="both"/>
      </w:pPr>
    </w:p>
    <w:p w:rsidR="000B43D7" w:rsidRPr="00CA626C" w:rsidRDefault="000B43D7" w:rsidP="000E65C3">
      <w:pPr>
        <w:tabs>
          <w:tab w:val="left" w:pos="720"/>
        </w:tabs>
        <w:spacing w:line="276" w:lineRule="auto"/>
        <w:ind w:right="-7" w:firstLine="600"/>
        <w:jc w:val="both"/>
      </w:pPr>
      <w:r w:rsidRPr="00CA626C">
        <w:t>При настъпване на промени в нормативната уредба по време на изпълнение на задачата - предмет на настоящата Техническа спецификация, същите следва своевременно да бъдат съобразени и отразени в разработките, след предварително съгласуване и одобрение от Възложителя и се иска неговото писмено съгласуване.</w:t>
      </w:r>
    </w:p>
    <w:p w:rsidR="00C600AF" w:rsidRDefault="00C600AF">
      <w:bookmarkStart w:id="5" w:name="_GoBack"/>
      <w:bookmarkEnd w:id="5"/>
    </w:p>
    <w:sectPr w:rsidR="00C600AF" w:rsidSect="000B43D7">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D7" w:rsidRDefault="000B43D7" w:rsidP="000B43D7">
      <w:r>
        <w:separator/>
      </w:r>
    </w:p>
  </w:endnote>
  <w:endnote w:type="continuationSeparator" w:id="0">
    <w:p w:rsidR="000B43D7" w:rsidRDefault="000B43D7" w:rsidP="000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1729098277"/>
      <w:docPartObj>
        <w:docPartGallery w:val="Page Numbers (Bottom of Page)"/>
        <w:docPartUnique/>
      </w:docPartObj>
    </w:sdtPr>
    <w:sdtContent>
      <w:sdt>
        <w:sdtPr>
          <w:rPr>
            <w:i/>
            <w:sz w:val="22"/>
            <w:szCs w:val="22"/>
          </w:rPr>
          <w:id w:val="-1769616900"/>
          <w:docPartObj>
            <w:docPartGallery w:val="Page Numbers (Top of Page)"/>
            <w:docPartUnique/>
          </w:docPartObj>
        </w:sdtPr>
        <w:sdtContent>
          <w:p w:rsidR="000E65C3" w:rsidRPr="000E65C3" w:rsidRDefault="000E65C3">
            <w:pPr>
              <w:pStyle w:val="a6"/>
              <w:jc w:val="right"/>
              <w:rPr>
                <w:i/>
                <w:sz w:val="22"/>
                <w:szCs w:val="22"/>
              </w:rPr>
            </w:pPr>
            <w:r w:rsidRPr="000E65C3">
              <w:rPr>
                <w:i/>
                <w:sz w:val="22"/>
                <w:szCs w:val="22"/>
              </w:rPr>
              <w:t xml:space="preserve">Страница </w:t>
            </w:r>
            <w:r w:rsidRPr="000E65C3">
              <w:rPr>
                <w:b/>
                <w:bCs/>
                <w:i/>
                <w:sz w:val="22"/>
                <w:szCs w:val="22"/>
              </w:rPr>
              <w:fldChar w:fldCharType="begin"/>
            </w:r>
            <w:r w:rsidRPr="000E65C3">
              <w:rPr>
                <w:b/>
                <w:bCs/>
                <w:i/>
                <w:sz w:val="22"/>
                <w:szCs w:val="22"/>
              </w:rPr>
              <w:instrText>PAGE</w:instrText>
            </w:r>
            <w:r w:rsidRPr="000E65C3">
              <w:rPr>
                <w:b/>
                <w:bCs/>
                <w:i/>
                <w:sz w:val="22"/>
                <w:szCs w:val="22"/>
              </w:rPr>
              <w:fldChar w:fldCharType="separate"/>
            </w:r>
            <w:r w:rsidR="00CB2A57">
              <w:rPr>
                <w:b/>
                <w:bCs/>
                <w:i/>
                <w:noProof/>
                <w:sz w:val="22"/>
                <w:szCs w:val="22"/>
              </w:rPr>
              <w:t>10</w:t>
            </w:r>
            <w:r w:rsidRPr="000E65C3">
              <w:rPr>
                <w:b/>
                <w:bCs/>
                <w:i/>
                <w:sz w:val="22"/>
                <w:szCs w:val="22"/>
              </w:rPr>
              <w:fldChar w:fldCharType="end"/>
            </w:r>
            <w:r w:rsidRPr="000E65C3">
              <w:rPr>
                <w:i/>
                <w:sz w:val="22"/>
                <w:szCs w:val="22"/>
              </w:rPr>
              <w:t xml:space="preserve"> от </w:t>
            </w:r>
            <w:r w:rsidRPr="000E65C3">
              <w:rPr>
                <w:b/>
                <w:bCs/>
                <w:i/>
                <w:sz w:val="22"/>
                <w:szCs w:val="22"/>
              </w:rPr>
              <w:fldChar w:fldCharType="begin"/>
            </w:r>
            <w:r w:rsidRPr="000E65C3">
              <w:rPr>
                <w:b/>
                <w:bCs/>
                <w:i/>
                <w:sz w:val="22"/>
                <w:szCs w:val="22"/>
              </w:rPr>
              <w:instrText>NUMPAGES</w:instrText>
            </w:r>
            <w:r w:rsidRPr="000E65C3">
              <w:rPr>
                <w:b/>
                <w:bCs/>
                <w:i/>
                <w:sz w:val="22"/>
                <w:szCs w:val="22"/>
              </w:rPr>
              <w:fldChar w:fldCharType="separate"/>
            </w:r>
            <w:r w:rsidR="00CB2A57">
              <w:rPr>
                <w:b/>
                <w:bCs/>
                <w:i/>
                <w:noProof/>
                <w:sz w:val="22"/>
                <w:szCs w:val="22"/>
              </w:rPr>
              <w:t>10</w:t>
            </w:r>
            <w:r w:rsidRPr="000E65C3">
              <w:rPr>
                <w:b/>
                <w:bCs/>
                <w:i/>
                <w:sz w:val="22"/>
                <w:szCs w:val="22"/>
              </w:rPr>
              <w:fldChar w:fldCharType="end"/>
            </w:r>
          </w:p>
        </w:sdtContent>
      </w:sdt>
    </w:sdtContent>
  </w:sdt>
  <w:p w:rsidR="000E65C3" w:rsidRDefault="000E65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D7" w:rsidRDefault="000B43D7" w:rsidP="000B43D7">
      <w:r>
        <w:separator/>
      </w:r>
    </w:p>
  </w:footnote>
  <w:footnote w:type="continuationSeparator" w:id="0">
    <w:p w:rsidR="000B43D7" w:rsidRDefault="000B43D7" w:rsidP="000B4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3D7" w:rsidRDefault="000B43D7">
    <w:pPr>
      <w:pStyle w:val="a4"/>
    </w:pPr>
    <w:r w:rsidRPr="00EB2CEF">
      <w:rPr>
        <w:noProof/>
        <w:lang w:val="en-GB" w:eastAsia="en-GB"/>
      </w:rPr>
      <w:drawing>
        <wp:inline distT="0" distB="0" distL="0" distR="0">
          <wp:extent cx="5731510" cy="1161535"/>
          <wp:effectExtent l="0" t="0" r="2540" b="63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61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7B"/>
    <w:multiLevelType w:val="multilevel"/>
    <w:tmpl w:val="F3C2E7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3163C5A"/>
    <w:multiLevelType w:val="hybridMultilevel"/>
    <w:tmpl w:val="B6E2A08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D7"/>
    <w:rsid w:val="000B43D7"/>
    <w:rsid w:val="000E65C3"/>
    <w:rsid w:val="00C600AF"/>
    <w:rsid w:val="00CB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E5495D"/>
  <w15:chartTrackingRefBased/>
  <w15:docId w15:val="{C942CFE7-716A-417A-B9B3-170985D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D7"/>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43D7"/>
  </w:style>
  <w:style w:type="paragraph" w:styleId="a4">
    <w:name w:val="header"/>
    <w:basedOn w:val="a"/>
    <w:link w:val="a5"/>
    <w:uiPriority w:val="99"/>
    <w:unhideWhenUsed/>
    <w:rsid w:val="000B43D7"/>
    <w:pPr>
      <w:tabs>
        <w:tab w:val="center" w:pos="4513"/>
        <w:tab w:val="right" w:pos="9026"/>
      </w:tabs>
    </w:pPr>
  </w:style>
  <w:style w:type="character" w:customStyle="1" w:styleId="a5">
    <w:name w:val="Горен колонтитул Знак"/>
    <w:basedOn w:val="a0"/>
    <w:link w:val="a4"/>
    <w:uiPriority w:val="99"/>
    <w:rsid w:val="000B43D7"/>
    <w:rPr>
      <w:rFonts w:ascii="Times New Roman" w:eastAsia="Times New Roman" w:hAnsi="Times New Roman" w:cs="Times New Roman"/>
      <w:sz w:val="24"/>
      <w:szCs w:val="24"/>
      <w:lang w:val="bg-BG" w:eastAsia="bg-BG"/>
    </w:rPr>
  </w:style>
  <w:style w:type="paragraph" w:styleId="a6">
    <w:name w:val="footer"/>
    <w:basedOn w:val="a"/>
    <w:link w:val="a7"/>
    <w:uiPriority w:val="99"/>
    <w:unhideWhenUsed/>
    <w:rsid w:val="000B43D7"/>
    <w:pPr>
      <w:tabs>
        <w:tab w:val="center" w:pos="4513"/>
        <w:tab w:val="right" w:pos="9026"/>
      </w:tabs>
    </w:pPr>
  </w:style>
  <w:style w:type="character" w:customStyle="1" w:styleId="a7">
    <w:name w:val="Долен колонтитул Знак"/>
    <w:basedOn w:val="a0"/>
    <w:link w:val="a6"/>
    <w:uiPriority w:val="99"/>
    <w:rsid w:val="000B43D7"/>
    <w:rPr>
      <w:rFonts w:ascii="Times New Roman" w:eastAsia="Times New Roman" w:hAnsi="Times New Roman" w:cs="Times New Roman"/>
      <w:sz w:val="24"/>
      <w:szCs w:val="24"/>
      <w:lang w:val="bg-BG" w:eastAsia="bg-BG"/>
    </w:rPr>
  </w:style>
  <w:style w:type="paragraph" w:customStyle="1" w:styleId="Style13">
    <w:name w:val="Style13"/>
    <w:basedOn w:val="a"/>
    <w:rsid w:val="000B43D7"/>
    <w:pPr>
      <w:widowControl w:val="0"/>
      <w:autoSpaceDE w:val="0"/>
      <w:autoSpaceDN w:val="0"/>
      <w:adjustRightInd w:val="0"/>
      <w:jc w:val="both"/>
    </w:pPr>
    <w:rPr>
      <w:rFonts w:ascii="Arial" w:hAnsi="Arial"/>
    </w:rPr>
  </w:style>
  <w:style w:type="character" w:customStyle="1" w:styleId="FontStyle30">
    <w:name w:val="Font Style30"/>
    <w:rsid w:val="000B43D7"/>
    <w:rPr>
      <w:rFonts w:ascii="Arial" w:hAnsi="Arial" w:cs="Arial"/>
      <w:color w:val="000000"/>
      <w:sz w:val="22"/>
      <w:szCs w:val="22"/>
    </w:rPr>
  </w:style>
  <w:style w:type="character" w:customStyle="1" w:styleId="FontStyle37">
    <w:name w:val="Font Style37"/>
    <w:rsid w:val="000B43D7"/>
    <w:rPr>
      <w:rFonts w:ascii="Times New Roman" w:hAnsi="Times New Roman" w:cs="Times New Roman"/>
      <w:color w:val="000000"/>
      <w:sz w:val="26"/>
      <w:szCs w:val="26"/>
    </w:rPr>
  </w:style>
  <w:style w:type="paragraph" w:styleId="a8">
    <w:name w:val="Body Text Indent"/>
    <w:basedOn w:val="a"/>
    <w:link w:val="a9"/>
    <w:rsid w:val="000B43D7"/>
    <w:pPr>
      <w:ind w:firstLine="720"/>
      <w:jc w:val="both"/>
    </w:pPr>
    <w:rPr>
      <w:sz w:val="28"/>
      <w:szCs w:val="20"/>
      <w:lang w:eastAsia="en-US"/>
    </w:rPr>
  </w:style>
  <w:style w:type="character" w:customStyle="1" w:styleId="a9">
    <w:name w:val="Основен текст с отстъп Знак"/>
    <w:basedOn w:val="a0"/>
    <w:link w:val="a8"/>
    <w:rsid w:val="000B43D7"/>
    <w:rPr>
      <w:rFonts w:ascii="Times New Roman" w:eastAsia="Times New Roman" w:hAnsi="Times New Roman" w:cs="Times New Roman"/>
      <w:sz w:val="28"/>
      <w:szCs w:val="20"/>
      <w:lang w:val="bg-BG"/>
    </w:rPr>
  </w:style>
  <w:style w:type="paragraph" w:styleId="2">
    <w:name w:val="Body Text Indent 2"/>
    <w:basedOn w:val="a"/>
    <w:link w:val="20"/>
    <w:uiPriority w:val="99"/>
    <w:semiHidden/>
    <w:unhideWhenUsed/>
    <w:rsid w:val="000B43D7"/>
    <w:pPr>
      <w:spacing w:after="120" w:line="480" w:lineRule="auto"/>
      <w:ind w:left="283"/>
    </w:pPr>
  </w:style>
  <w:style w:type="character" w:customStyle="1" w:styleId="20">
    <w:name w:val="Основен текст с отстъп 2 Знак"/>
    <w:basedOn w:val="a0"/>
    <w:link w:val="2"/>
    <w:uiPriority w:val="99"/>
    <w:semiHidden/>
    <w:rsid w:val="000B43D7"/>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3410</Words>
  <Characters>19438</Characters>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2019-06-07T07:03:00Z</dcterms:created>
  <dcterms:modified xsi:type="dcterms:W3CDTF">2019-06-07T07:26:00Z</dcterms:modified>
</cp:coreProperties>
</file>